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15"/>
        <w:gridCol w:w="3240"/>
        <w:gridCol w:w="1710"/>
        <w:gridCol w:w="2970"/>
      </w:tblGrid>
      <w:tr w:rsidR="00C37C83" w:rsidRPr="00AE5749" w14:paraId="4FAB8D37" w14:textId="77777777" w:rsidTr="003101C2">
        <w:tc>
          <w:tcPr>
            <w:tcW w:w="1615" w:type="dxa"/>
            <w:shd w:val="clear" w:color="auto" w:fill="DAEEF3" w:themeFill="accent5" w:themeFillTint="33"/>
            <w:vAlign w:val="center"/>
          </w:tcPr>
          <w:p w14:paraId="5F8B4AF0" w14:textId="77777777" w:rsidR="00C37C83" w:rsidRPr="00AE5749" w:rsidRDefault="00C37C83" w:rsidP="00D3774B">
            <w:pPr>
              <w:spacing w:line="276" w:lineRule="auto"/>
              <w:jc w:val="right"/>
            </w:pPr>
            <w:r w:rsidRPr="00AE5749">
              <w:t>Project Type:</w:t>
            </w:r>
          </w:p>
        </w:tc>
        <w:tc>
          <w:tcPr>
            <w:tcW w:w="7920" w:type="dxa"/>
            <w:gridSpan w:val="3"/>
            <w:vAlign w:val="center"/>
          </w:tcPr>
          <w:p w14:paraId="7DC6D378" w14:textId="7FBD1CF5" w:rsidR="00C37C83" w:rsidRPr="00AE5749" w:rsidRDefault="00ED011E" w:rsidP="00161184">
            <w:pPr>
              <w:spacing w:line="276" w:lineRule="auto"/>
              <w:rPr>
                <w:b/>
              </w:rPr>
            </w:pPr>
            <w:r>
              <w:rPr>
                <w:b/>
              </w:rPr>
              <w:t>Major Land Development</w:t>
            </w:r>
          </w:p>
        </w:tc>
      </w:tr>
      <w:tr w:rsidR="00C37C83" w:rsidRPr="00AE5749" w14:paraId="7246F914" w14:textId="77777777" w:rsidTr="003101C2">
        <w:tc>
          <w:tcPr>
            <w:tcW w:w="1615" w:type="dxa"/>
            <w:shd w:val="clear" w:color="auto" w:fill="DAEEF3" w:themeFill="accent5" w:themeFillTint="33"/>
            <w:vAlign w:val="center"/>
          </w:tcPr>
          <w:p w14:paraId="0355631B" w14:textId="77777777" w:rsidR="00C37C83" w:rsidRPr="00AE5749" w:rsidRDefault="00C37C83" w:rsidP="00D3774B">
            <w:pPr>
              <w:spacing w:line="276" w:lineRule="auto"/>
              <w:jc w:val="right"/>
            </w:pPr>
            <w:r w:rsidRPr="00AE5749">
              <w:t>Review Stage:</w:t>
            </w:r>
          </w:p>
        </w:tc>
        <w:tc>
          <w:tcPr>
            <w:tcW w:w="7920" w:type="dxa"/>
            <w:gridSpan w:val="3"/>
            <w:vAlign w:val="center"/>
          </w:tcPr>
          <w:p w14:paraId="7DC7BA67" w14:textId="3D9A26D8" w:rsidR="00C37C83" w:rsidRPr="00AE5749" w:rsidRDefault="00ED011E" w:rsidP="00D3774B">
            <w:pPr>
              <w:spacing w:line="276" w:lineRule="auto"/>
              <w:rPr>
                <w:b/>
              </w:rPr>
            </w:pPr>
            <w:r>
              <w:rPr>
                <w:b/>
              </w:rPr>
              <w:t>Pre-Application Concept Plan</w:t>
            </w:r>
          </w:p>
        </w:tc>
      </w:tr>
      <w:tr w:rsidR="00C37C83" w:rsidRPr="00AE5749" w14:paraId="1B59A0E6" w14:textId="77777777" w:rsidTr="003101C2">
        <w:tc>
          <w:tcPr>
            <w:tcW w:w="1615" w:type="dxa"/>
            <w:shd w:val="clear" w:color="auto" w:fill="DAEEF3" w:themeFill="accent5" w:themeFillTint="33"/>
            <w:vAlign w:val="center"/>
          </w:tcPr>
          <w:p w14:paraId="27CE682E" w14:textId="77777777" w:rsidR="00C37C83" w:rsidRPr="00AE5749" w:rsidRDefault="00C37C83" w:rsidP="00D3774B">
            <w:pPr>
              <w:spacing w:line="276" w:lineRule="auto"/>
              <w:jc w:val="right"/>
            </w:pPr>
            <w:r w:rsidRPr="00AE5749">
              <w:t>Address:</w:t>
            </w:r>
          </w:p>
        </w:tc>
        <w:tc>
          <w:tcPr>
            <w:tcW w:w="7920" w:type="dxa"/>
            <w:gridSpan w:val="3"/>
            <w:vAlign w:val="center"/>
          </w:tcPr>
          <w:p w14:paraId="347F868D" w14:textId="55797E2E" w:rsidR="00C37C83" w:rsidRPr="00AE5749" w:rsidRDefault="00ED011E" w:rsidP="00161184">
            <w:pPr>
              <w:spacing w:line="276" w:lineRule="auto"/>
              <w:rPr>
                <w:b/>
              </w:rPr>
            </w:pPr>
            <w:r>
              <w:rPr>
                <w:b/>
              </w:rPr>
              <w:t>Holley Street</w:t>
            </w:r>
          </w:p>
        </w:tc>
      </w:tr>
      <w:tr w:rsidR="003101C2" w:rsidRPr="00AE5749" w14:paraId="2CDAC9CE" w14:textId="77777777" w:rsidTr="003101C2">
        <w:tc>
          <w:tcPr>
            <w:tcW w:w="1615" w:type="dxa"/>
            <w:shd w:val="clear" w:color="auto" w:fill="DAEEF3" w:themeFill="accent5" w:themeFillTint="33"/>
            <w:vAlign w:val="center"/>
          </w:tcPr>
          <w:p w14:paraId="587E4A94" w14:textId="77777777" w:rsidR="003101C2" w:rsidRPr="00AE5749" w:rsidRDefault="003101C2" w:rsidP="00D3774B">
            <w:pPr>
              <w:spacing w:line="276" w:lineRule="auto"/>
              <w:jc w:val="right"/>
            </w:pPr>
            <w:r w:rsidRPr="00AE5749">
              <w:t>Plat:</w:t>
            </w:r>
          </w:p>
        </w:tc>
        <w:tc>
          <w:tcPr>
            <w:tcW w:w="3240" w:type="dxa"/>
            <w:vAlign w:val="center"/>
          </w:tcPr>
          <w:p w14:paraId="0000045C" w14:textId="2DB1F778" w:rsidR="003101C2" w:rsidRPr="00AE5749" w:rsidRDefault="00ED011E" w:rsidP="00D3774B">
            <w:pPr>
              <w:spacing w:line="276" w:lineRule="auto"/>
              <w:rPr>
                <w:b/>
              </w:rPr>
            </w:pPr>
            <w:r>
              <w:rPr>
                <w:b/>
              </w:rPr>
              <w:t>57-1</w:t>
            </w:r>
          </w:p>
        </w:tc>
        <w:tc>
          <w:tcPr>
            <w:tcW w:w="1710" w:type="dxa"/>
            <w:shd w:val="clear" w:color="auto" w:fill="DAEEF3" w:themeFill="accent5" w:themeFillTint="33"/>
            <w:vAlign w:val="center"/>
          </w:tcPr>
          <w:p w14:paraId="1BB3E2D0" w14:textId="77777777" w:rsidR="003101C2" w:rsidRPr="00AE5749" w:rsidRDefault="003101C2" w:rsidP="003101C2">
            <w:pPr>
              <w:spacing w:line="276" w:lineRule="auto"/>
              <w:jc w:val="right"/>
            </w:pPr>
            <w:r w:rsidRPr="00AE5749">
              <w:t>Lot:</w:t>
            </w:r>
          </w:p>
        </w:tc>
        <w:tc>
          <w:tcPr>
            <w:tcW w:w="2970" w:type="dxa"/>
            <w:vAlign w:val="center"/>
          </w:tcPr>
          <w:p w14:paraId="5F11118A" w14:textId="32CC7278" w:rsidR="003101C2" w:rsidRPr="00AE5749" w:rsidRDefault="00ED011E" w:rsidP="00D3774B">
            <w:pPr>
              <w:spacing w:line="276" w:lineRule="auto"/>
              <w:rPr>
                <w:b/>
              </w:rPr>
            </w:pPr>
            <w:r>
              <w:rPr>
                <w:b/>
              </w:rPr>
              <w:t>110</w:t>
            </w:r>
          </w:p>
        </w:tc>
      </w:tr>
      <w:tr w:rsidR="003101C2" w:rsidRPr="00AE5749" w14:paraId="5A070397" w14:textId="77777777" w:rsidTr="003101C2">
        <w:tc>
          <w:tcPr>
            <w:tcW w:w="1615" w:type="dxa"/>
            <w:shd w:val="clear" w:color="auto" w:fill="DAEEF3" w:themeFill="accent5" w:themeFillTint="33"/>
            <w:vAlign w:val="center"/>
          </w:tcPr>
          <w:p w14:paraId="607CA22D" w14:textId="77777777" w:rsidR="00C37C83" w:rsidRPr="00AE5749" w:rsidRDefault="00C37C83" w:rsidP="00D3774B">
            <w:pPr>
              <w:spacing w:line="276" w:lineRule="auto"/>
              <w:jc w:val="right"/>
            </w:pPr>
            <w:r w:rsidRPr="00AE5749">
              <w:t>Parcel Size:</w:t>
            </w:r>
          </w:p>
        </w:tc>
        <w:tc>
          <w:tcPr>
            <w:tcW w:w="3240" w:type="dxa"/>
            <w:vAlign w:val="center"/>
          </w:tcPr>
          <w:p w14:paraId="286676FC" w14:textId="4DC102CF" w:rsidR="00C37C83" w:rsidRPr="00AE5749" w:rsidRDefault="005A72B7" w:rsidP="00ED011E">
            <w:pPr>
              <w:spacing w:line="276" w:lineRule="auto"/>
              <w:rPr>
                <w:b/>
              </w:rPr>
            </w:pPr>
            <w:r>
              <w:rPr>
                <w:b/>
              </w:rPr>
              <w:t>~</w:t>
            </w:r>
            <w:r w:rsidR="00ED011E">
              <w:rPr>
                <w:b/>
              </w:rPr>
              <w:t>1.3</w:t>
            </w:r>
            <w:r>
              <w:rPr>
                <w:b/>
              </w:rPr>
              <w:t xml:space="preserve"> acres</w:t>
            </w:r>
          </w:p>
        </w:tc>
        <w:tc>
          <w:tcPr>
            <w:tcW w:w="1710" w:type="dxa"/>
            <w:shd w:val="clear" w:color="auto" w:fill="DAEEF3" w:themeFill="accent5" w:themeFillTint="33"/>
            <w:vAlign w:val="center"/>
          </w:tcPr>
          <w:p w14:paraId="7DEF64D4" w14:textId="77777777" w:rsidR="00C37C83" w:rsidRPr="00AE5749" w:rsidRDefault="00C37C83" w:rsidP="00D3774B">
            <w:pPr>
              <w:spacing w:line="276" w:lineRule="auto"/>
              <w:jc w:val="right"/>
            </w:pPr>
            <w:r w:rsidRPr="00AE5749">
              <w:rPr>
                <w:shd w:val="clear" w:color="auto" w:fill="DAEEF3" w:themeFill="accent5" w:themeFillTint="33"/>
              </w:rPr>
              <w:t>Zoning District</w:t>
            </w:r>
            <w:r w:rsidRPr="00AE5749">
              <w:t>:</w:t>
            </w:r>
          </w:p>
        </w:tc>
        <w:tc>
          <w:tcPr>
            <w:tcW w:w="2970" w:type="dxa"/>
            <w:vAlign w:val="center"/>
          </w:tcPr>
          <w:p w14:paraId="63FC1D90" w14:textId="11989179" w:rsidR="00C37C83" w:rsidRPr="00AE5749" w:rsidRDefault="00ED011E" w:rsidP="005A72B7">
            <w:pPr>
              <w:spacing w:line="276" w:lineRule="auto"/>
              <w:rPr>
                <w:b/>
              </w:rPr>
            </w:pPr>
            <w:r>
              <w:rPr>
                <w:b/>
              </w:rPr>
              <w:t>CN</w:t>
            </w:r>
          </w:p>
        </w:tc>
      </w:tr>
      <w:tr w:rsidR="00D3774B" w:rsidRPr="00AE5749" w14:paraId="31B7C1A3" w14:textId="77777777" w:rsidTr="003101C2">
        <w:tc>
          <w:tcPr>
            <w:tcW w:w="1615" w:type="dxa"/>
            <w:shd w:val="clear" w:color="auto" w:fill="DAEEF3" w:themeFill="accent5" w:themeFillTint="33"/>
            <w:vAlign w:val="center"/>
          </w:tcPr>
          <w:p w14:paraId="5A218F5F" w14:textId="77777777" w:rsidR="00D3774B" w:rsidRPr="00AE5749" w:rsidRDefault="00D3774B" w:rsidP="00ED011E">
            <w:pPr>
              <w:jc w:val="right"/>
            </w:pPr>
            <w:r w:rsidRPr="00AE5749">
              <w:t>Applicant:</w:t>
            </w:r>
          </w:p>
        </w:tc>
        <w:tc>
          <w:tcPr>
            <w:tcW w:w="3240" w:type="dxa"/>
            <w:vAlign w:val="center"/>
          </w:tcPr>
          <w:p w14:paraId="177B1EDD" w14:textId="77777777" w:rsidR="00F15599" w:rsidRDefault="00ED011E" w:rsidP="00ED011E">
            <w:pPr>
              <w:rPr>
                <w:rFonts w:ascii="Calibri" w:eastAsia="Times New Roman" w:hAnsi="Calibri" w:cs="Calibri"/>
              </w:rPr>
            </w:pPr>
            <w:r>
              <w:rPr>
                <w:rFonts w:ascii="Calibri" w:eastAsia="Times New Roman" w:hAnsi="Calibri" w:cs="Calibri"/>
              </w:rPr>
              <w:t>Scot Hallberg</w:t>
            </w:r>
          </w:p>
          <w:p w14:paraId="5A528559" w14:textId="77777777" w:rsidR="00ED011E" w:rsidRDefault="00ED011E" w:rsidP="00ED011E">
            <w:pPr>
              <w:rPr>
                <w:rFonts w:ascii="Calibri" w:eastAsia="Times New Roman" w:hAnsi="Calibri" w:cs="Calibri"/>
              </w:rPr>
            </w:pPr>
            <w:r>
              <w:rPr>
                <w:rFonts w:ascii="Calibri" w:eastAsia="Times New Roman" w:hAnsi="Calibri" w:cs="Calibri"/>
              </w:rPr>
              <w:t>17 Arnold Street, Suite 100</w:t>
            </w:r>
          </w:p>
          <w:p w14:paraId="5A206DCA" w14:textId="4314F306" w:rsidR="00ED011E" w:rsidRPr="00ED011E" w:rsidRDefault="00ED011E" w:rsidP="00ED011E">
            <w:pPr>
              <w:rPr>
                <w:rFonts w:ascii="Calibri" w:eastAsia="Times New Roman" w:hAnsi="Calibri" w:cs="Calibri"/>
              </w:rPr>
            </w:pPr>
            <w:r>
              <w:rPr>
                <w:rFonts w:ascii="Calibri" w:eastAsia="Times New Roman" w:hAnsi="Calibri" w:cs="Calibri"/>
              </w:rPr>
              <w:t>Wakefield, RI 02879</w:t>
            </w:r>
          </w:p>
        </w:tc>
        <w:tc>
          <w:tcPr>
            <w:tcW w:w="1710" w:type="dxa"/>
            <w:shd w:val="clear" w:color="auto" w:fill="DAEEF3" w:themeFill="accent5" w:themeFillTint="33"/>
            <w:vAlign w:val="center"/>
          </w:tcPr>
          <w:p w14:paraId="2920CA95" w14:textId="77777777" w:rsidR="00D3774B" w:rsidRPr="00AE5749" w:rsidRDefault="00D3774B" w:rsidP="00ED011E">
            <w:pPr>
              <w:jc w:val="right"/>
              <w:rPr>
                <w:shd w:val="clear" w:color="auto" w:fill="DAEEF3" w:themeFill="accent5" w:themeFillTint="33"/>
              </w:rPr>
            </w:pPr>
            <w:r w:rsidRPr="00AE5749">
              <w:rPr>
                <w:shd w:val="clear" w:color="auto" w:fill="DAEEF3" w:themeFill="accent5" w:themeFillTint="33"/>
              </w:rPr>
              <w:t>Owner:</w:t>
            </w:r>
          </w:p>
        </w:tc>
        <w:tc>
          <w:tcPr>
            <w:tcW w:w="2970" w:type="dxa"/>
            <w:vAlign w:val="center"/>
          </w:tcPr>
          <w:p w14:paraId="4483AAA0" w14:textId="77777777" w:rsidR="00F15599" w:rsidRDefault="00ED011E" w:rsidP="00ED011E">
            <w:pPr>
              <w:rPr>
                <w:rFonts w:ascii="Calibri" w:hAnsi="Calibri" w:cs="Calibri"/>
              </w:rPr>
            </w:pPr>
            <w:r>
              <w:rPr>
                <w:rFonts w:ascii="Calibri" w:hAnsi="Calibri" w:cs="Calibri"/>
              </w:rPr>
              <w:t>Southern Rhode Island Professional Center, LLC</w:t>
            </w:r>
          </w:p>
          <w:p w14:paraId="2D0B7A8D" w14:textId="77777777" w:rsidR="00ED011E" w:rsidRDefault="00ED011E" w:rsidP="00ED011E">
            <w:pPr>
              <w:rPr>
                <w:rFonts w:ascii="Calibri" w:hAnsi="Calibri" w:cs="Calibri"/>
              </w:rPr>
            </w:pPr>
            <w:r>
              <w:rPr>
                <w:rFonts w:ascii="Calibri" w:hAnsi="Calibri" w:cs="Calibri"/>
              </w:rPr>
              <w:t>P.O. Box 817</w:t>
            </w:r>
          </w:p>
          <w:p w14:paraId="5EC11E64" w14:textId="33464572" w:rsidR="00ED011E" w:rsidRPr="00AE5749" w:rsidRDefault="00ED011E" w:rsidP="00ED011E">
            <w:pPr>
              <w:rPr>
                <w:b/>
              </w:rPr>
            </w:pPr>
            <w:r>
              <w:rPr>
                <w:rFonts w:ascii="Calibri" w:hAnsi="Calibri" w:cs="Calibri"/>
              </w:rPr>
              <w:t>Charlestown, RI 02813</w:t>
            </w:r>
          </w:p>
        </w:tc>
      </w:tr>
      <w:tr w:rsidR="003B4D46" w:rsidRPr="00AE5749" w14:paraId="65F95F64" w14:textId="77777777" w:rsidTr="00966D58">
        <w:tc>
          <w:tcPr>
            <w:tcW w:w="1615" w:type="dxa"/>
            <w:shd w:val="clear" w:color="auto" w:fill="DAEEF3" w:themeFill="accent5" w:themeFillTint="33"/>
            <w:vAlign w:val="center"/>
          </w:tcPr>
          <w:p w14:paraId="718C65D9" w14:textId="77777777" w:rsidR="003B4D46" w:rsidRPr="00AE5749" w:rsidRDefault="003B4D46" w:rsidP="003B4D46">
            <w:pPr>
              <w:jc w:val="right"/>
            </w:pPr>
            <w:r w:rsidRPr="00AE5749">
              <w:t>Current Plan Set:</w:t>
            </w:r>
          </w:p>
        </w:tc>
        <w:tc>
          <w:tcPr>
            <w:tcW w:w="7920" w:type="dxa"/>
            <w:gridSpan w:val="3"/>
            <w:vAlign w:val="center"/>
          </w:tcPr>
          <w:p w14:paraId="322C3BA8" w14:textId="5FCE804F" w:rsidR="003B4D46" w:rsidRPr="00ED011E" w:rsidRDefault="00ED011E" w:rsidP="00ED011E">
            <w:pPr>
              <w:jc w:val="center"/>
              <w:rPr>
                <w:rFonts w:ascii="Calibri" w:eastAsia="Times New Roman" w:hAnsi="Calibri" w:cs="Calibri"/>
                <w:color w:val="002060"/>
              </w:rPr>
            </w:pPr>
            <w:r>
              <w:rPr>
                <w:rFonts w:ascii="Calibri" w:eastAsia="Times New Roman" w:hAnsi="Calibri" w:cs="Calibri"/>
                <w:i/>
                <w:iCs/>
              </w:rPr>
              <w:t xml:space="preserve">Pre-Application Submission for “The Residences on Holley”, AP 57-1, Lot 110, Holley Street in South Kingstown, Rhode Island, </w:t>
            </w:r>
            <w:r>
              <w:rPr>
                <w:rFonts w:ascii="Calibri" w:eastAsia="Times New Roman" w:hAnsi="Calibri" w:cs="Calibri"/>
                <w:iCs/>
              </w:rPr>
              <w:t>Sheets 1 through 2, dated June 3, 2020, completed by Principe Company, Inc., P.O. Box 298, Tiverton, RI 02878.</w:t>
            </w:r>
          </w:p>
        </w:tc>
      </w:tr>
    </w:tbl>
    <w:p w14:paraId="2ACD647C" w14:textId="77777777" w:rsidR="001426B6" w:rsidRPr="000F7902" w:rsidRDefault="001426B6" w:rsidP="00F14E2F">
      <w:pPr>
        <w:pStyle w:val="Layer3"/>
        <w:pBdr>
          <w:bottom w:val="single" w:sz="6" w:space="1" w:color="auto"/>
        </w:pBdr>
        <w:spacing w:before="120" w:after="60"/>
        <w:ind w:left="0"/>
      </w:pPr>
      <w:r w:rsidRPr="000F7902">
        <w:t>Property Characteristics</w:t>
      </w:r>
    </w:p>
    <w:p w14:paraId="2494A4C4" w14:textId="5313077A" w:rsidR="001F6EA9" w:rsidRPr="000F7902" w:rsidRDefault="000F2A63" w:rsidP="00F14E2F">
      <w:pPr>
        <w:pStyle w:val="BodyText"/>
        <w:spacing w:before="60" w:after="60"/>
        <w:rPr>
          <w:b w:val="0"/>
        </w:rPr>
      </w:pPr>
      <w:r w:rsidRPr="00790B81">
        <w:rPr>
          <w:b w:val="0"/>
        </w:rPr>
        <w:t xml:space="preserve">The </w:t>
      </w:r>
      <w:r w:rsidR="001F6EA9" w:rsidRPr="00790B81">
        <w:rPr>
          <w:b w:val="0"/>
        </w:rPr>
        <w:t xml:space="preserve">subject </w:t>
      </w:r>
      <w:r w:rsidRPr="00790B81">
        <w:rPr>
          <w:b w:val="0"/>
        </w:rPr>
        <w:t>property is</w:t>
      </w:r>
      <w:r w:rsidR="00581772" w:rsidRPr="00790B81">
        <w:rPr>
          <w:b w:val="0"/>
        </w:rPr>
        <w:t xml:space="preserve"> </w:t>
      </w:r>
      <w:r w:rsidR="00ED011E">
        <w:rPr>
          <w:b w:val="0"/>
        </w:rPr>
        <w:t>an undeveloped parcel approximately 1.3 acres in size and is located in a Commercial Neighborhood (CN) Zoning District.  The parcel is located between School and Main Street and surround properties are primarily comprised of residential dwellings with some commercially used properties to south and the east.</w:t>
      </w:r>
    </w:p>
    <w:p w14:paraId="73C8AE07" w14:textId="77777777" w:rsidR="001426B6" w:rsidRPr="00FE1C25" w:rsidRDefault="001426B6" w:rsidP="00681BF3">
      <w:pPr>
        <w:pStyle w:val="Layer3"/>
        <w:pBdr>
          <w:bottom w:val="single" w:sz="6" w:space="1" w:color="auto"/>
        </w:pBdr>
        <w:spacing w:before="120" w:after="60"/>
        <w:ind w:left="0"/>
      </w:pPr>
      <w:r w:rsidRPr="00FE1C25">
        <w:t>Project Description</w:t>
      </w:r>
    </w:p>
    <w:p w14:paraId="2A9AAEF5" w14:textId="0F46EB95" w:rsidR="006A15A4" w:rsidRDefault="00ED011E" w:rsidP="00F14E2F">
      <w:pPr>
        <w:pStyle w:val="BodyText"/>
        <w:spacing w:before="60" w:after="60"/>
        <w:rPr>
          <w:b w:val="0"/>
        </w:rPr>
      </w:pPr>
      <w:r>
        <w:rPr>
          <w:b w:val="0"/>
        </w:rPr>
        <w:t xml:space="preserve">The applicant is proposing a major multi-household land development project to include six (6) </w:t>
      </w:r>
      <w:r w:rsidR="00BD5464">
        <w:rPr>
          <w:b w:val="0"/>
        </w:rPr>
        <w:t xml:space="preserve">1,440 square foot </w:t>
      </w:r>
      <w:r>
        <w:rPr>
          <w:b w:val="0"/>
        </w:rPr>
        <w:t xml:space="preserve">duplex </w:t>
      </w:r>
      <w:r w:rsidR="006A15A4">
        <w:rPr>
          <w:b w:val="0"/>
        </w:rPr>
        <w:t xml:space="preserve">structures with a two (2) </w:t>
      </w:r>
      <w:r w:rsidR="00BD5464">
        <w:rPr>
          <w:b w:val="0"/>
        </w:rPr>
        <w:t xml:space="preserve">720 square foot </w:t>
      </w:r>
      <w:r w:rsidR="006A15A4">
        <w:rPr>
          <w:b w:val="0"/>
        </w:rPr>
        <w:t xml:space="preserve">units each for a total of twelve (12) units.  In accordance with the inclusionary zoning requirements of the zoning ordinance, two (2) of these units (20%) will be deed restricted for low to moderate income ownership or occupancy.  </w:t>
      </w:r>
    </w:p>
    <w:p w14:paraId="50182E67" w14:textId="7E279219" w:rsidR="000F7902" w:rsidRDefault="006A15A4" w:rsidP="00F14E2F">
      <w:pPr>
        <w:pStyle w:val="BodyText"/>
        <w:spacing w:before="60" w:after="60"/>
        <w:rPr>
          <w:b w:val="0"/>
        </w:rPr>
      </w:pPr>
      <w:r>
        <w:rPr>
          <w:b w:val="0"/>
        </w:rPr>
        <w:t xml:space="preserve">Access to these units include a shared access driveway for the three (3) southernmost structures and the remaining structures to the north will be serviced by individual curb-cuts and driveways along the frontage on Holley Street.  </w:t>
      </w:r>
      <w:r>
        <w:rPr>
          <w:b w:val="0"/>
        </w:rPr>
        <w:t>The applicant proposes each unit to have a garage and a single external parking space dedicated to each unit and the property is proposed to be serviced by Town water and sewer service.  The applicant proposes that best management practices to mitigate stormwater runoff will be provided including roof bioretention areas and permeable/porous pavement.  Landscaping will also include plantings along the frontage and a 20-foot modified landscape screen will be installed along the westerly property limits along the residentially zoned properties abutting the subject site.</w:t>
      </w:r>
    </w:p>
    <w:p w14:paraId="64EDF541" w14:textId="77777777" w:rsidR="00BD5464" w:rsidRPr="00CD0E96" w:rsidRDefault="00BD5464" w:rsidP="00BD5464">
      <w:pPr>
        <w:pStyle w:val="Layer3"/>
        <w:pBdr>
          <w:bottom w:val="single" w:sz="6" w:space="1" w:color="auto"/>
        </w:pBdr>
        <w:spacing w:before="120" w:after="60"/>
        <w:ind w:left="0"/>
      </w:pPr>
      <w:r w:rsidRPr="00CD0E96">
        <w:t>Regulatory Considerations</w:t>
      </w:r>
    </w:p>
    <w:p w14:paraId="2D6C9EC3" w14:textId="77777777" w:rsidR="00941C39" w:rsidRPr="00CD0E96" w:rsidRDefault="00941C39" w:rsidP="008D31F2">
      <w:pPr>
        <w:spacing w:before="120" w:after="60" w:line="240" w:lineRule="auto"/>
        <w:rPr>
          <w:b/>
          <w:i/>
        </w:rPr>
      </w:pPr>
      <w:r w:rsidRPr="00CD0E96">
        <w:rPr>
          <w:b/>
          <w:i/>
        </w:rPr>
        <w:t>Purpose of the Pre-Application Review</w:t>
      </w:r>
    </w:p>
    <w:p w14:paraId="3B135E28" w14:textId="77777777" w:rsidR="00941C39" w:rsidRPr="00CD0E96" w:rsidRDefault="00941C39" w:rsidP="00941C39">
      <w:pPr>
        <w:pStyle w:val="Overview"/>
        <w:spacing w:before="60" w:after="60"/>
      </w:pPr>
      <w:r w:rsidRPr="00CD0E96">
        <w:t>Per the Regulations, Pre-Application meetings shall:</w:t>
      </w:r>
    </w:p>
    <w:p w14:paraId="710FEAA9" w14:textId="77777777" w:rsidR="00941C39" w:rsidRPr="00CD0E96" w:rsidRDefault="00941C39" w:rsidP="00941C39">
      <w:pPr>
        <w:pStyle w:val="Overview"/>
        <w:numPr>
          <w:ilvl w:val="0"/>
          <w:numId w:val="2"/>
        </w:numPr>
        <w:spacing w:before="60" w:after="60"/>
      </w:pPr>
      <w:r w:rsidRPr="00CD0E96">
        <w:t>Aim to encourage information sharing and discussion of project concepts among the participants:</w:t>
      </w:r>
    </w:p>
    <w:p w14:paraId="0AAA5633" w14:textId="77777777" w:rsidR="00941C39" w:rsidRPr="00CD0E96" w:rsidRDefault="00941C39" w:rsidP="00941C39">
      <w:pPr>
        <w:pStyle w:val="Overview"/>
        <w:numPr>
          <w:ilvl w:val="0"/>
          <w:numId w:val="2"/>
        </w:numPr>
        <w:spacing w:before="60" w:after="60"/>
      </w:pPr>
      <w:r w:rsidRPr="00CD0E96">
        <w:lastRenderedPageBreak/>
        <w:t>Include a review of the physical character of the land, any environmental or physical constraints to development; and</w:t>
      </w:r>
    </w:p>
    <w:p w14:paraId="43B99F4B" w14:textId="77777777" w:rsidR="00941C39" w:rsidRPr="00CD0E96" w:rsidRDefault="00941C39" w:rsidP="00941C39">
      <w:pPr>
        <w:pStyle w:val="Overview"/>
        <w:numPr>
          <w:ilvl w:val="0"/>
          <w:numId w:val="2"/>
        </w:numPr>
        <w:spacing w:before="60" w:after="60"/>
      </w:pPr>
      <w:r w:rsidRPr="00CD0E96">
        <w:t>Include a discussion initiated by the Planning Board regarding what form of land development may be appropriate to meet the goals and policies of the Comprehensive Plan with regard to preserving the character of the land, the natural environment and the ability of the Town to provide essential services.</w:t>
      </w:r>
    </w:p>
    <w:p w14:paraId="4320E600" w14:textId="77777777" w:rsidR="00941C39" w:rsidRDefault="00941C39" w:rsidP="00941C39">
      <w:pPr>
        <w:spacing w:before="60" w:after="60" w:line="240" w:lineRule="auto"/>
        <w:ind w:left="360"/>
        <w:jc w:val="both"/>
      </w:pPr>
      <w:r w:rsidRPr="00CD0E96">
        <w:t>Pre-application discussions are intended for the guidance of the applicant and shall not be considered approval of a project or of any of its elements.  No formal action need be taken by the Planning Board at the pre-application meeting.</w:t>
      </w:r>
    </w:p>
    <w:p w14:paraId="60245B19" w14:textId="77777777" w:rsidR="00941C39" w:rsidRDefault="00941C39" w:rsidP="008D31F2">
      <w:pPr>
        <w:pStyle w:val="incr1"/>
        <w:shd w:val="clear" w:color="auto" w:fill="FFFFFF" w:themeFill="background1"/>
        <w:spacing w:before="120" w:beforeAutospacing="0" w:after="60" w:afterAutospacing="0"/>
        <w:jc w:val="both"/>
        <w:rPr>
          <w:rFonts w:asciiTheme="minorHAnsi" w:hAnsiTheme="minorHAnsi" w:cstheme="minorHAnsi"/>
          <w:b/>
          <w:i/>
          <w:color w:val="313335"/>
          <w:sz w:val="22"/>
          <w:szCs w:val="22"/>
        </w:rPr>
      </w:pPr>
      <w:r>
        <w:rPr>
          <w:rFonts w:asciiTheme="minorHAnsi" w:hAnsiTheme="minorHAnsi" w:cstheme="minorHAnsi"/>
          <w:b/>
          <w:i/>
          <w:color w:val="313335"/>
          <w:sz w:val="22"/>
          <w:szCs w:val="22"/>
        </w:rPr>
        <w:t>Section 401 (Zoning – Dimensional Requirements)</w:t>
      </w:r>
    </w:p>
    <w:p w14:paraId="6DC7CAC3" w14:textId="77777777" w:rsidR="00941C39" w:rsidRDefault="00941C39" w:rsidP="00941C39">
      <w:pPr>
        <w:pStyle w:val="incr1"/>
        <w:shd w:val="clear" w:color="auto" w:fill="FFFFFF" w:themeFill="background1"/>
        <w:spacing w:before="60" w:beforeAutospacing="0" w:after="60" w:afterAutospacing="0"/>
        <w:ind w:left="360" w:right="115"/>
        <w:jc w:val="both"/>
        <w:rPr>
          <w:rFonts w:asciiTheme="minorHAnsi" w:hAnsiTheme="minorHAnsi" w:cstheme="minorHAnsi"/>
          <w:color w:val="313335"/>
          <w:sz w:val="22"/>
          <w:szCs w:val="22"/>
        </w:rPr>
      </w:pPr>
      <w:r>
        <w:rPr>
          <w:rFonts w:asciiTheme="minorHAnsi" w:hAnsiTheme="minorHAnsi" w:cstheme="minorHAnsi"/>
          <w:color w:val="313335"/>
          <w:sz w:val="22"/>
          <w:szCs w:val="22"/>
        </w:rPr>
        <w:t>Section 401 (Schedule of dimensional regulations) provides the maximum density allowed for multi-household land development projects.  The allowed density for the subject property is:</w:t>
      </w:r>
    </w:p>
    <w:p w14:paraId="24BA7E46" w14:textId="77777777" w:rsidR="00941C39" w:rsidRDefault="00941C39" w:rsidP="00941C39">
      <w:pPr>
        <w:pStyle w:val="incr1"/>
        <w:shd w:val="clear" w:color="auto" w:fill="FFFFFF" w:themeFill="background1"/>
        <w:spacing w:before="60" w:beforeAutospacing="0" w:after="60" w:afterAutospacing="0"/>
        <w:ind w:left="720"/>
        <w:jc w:val="both"/>
        <w:rPr>
          <w:rFonts w:asciiTheme="minorHAnsi" w:hAnsiTheme="minorHAnsi" w:cstheme="minorHAnsi"/>
          <w:i/>
          <w:color w:val="313335"/>
          <w:sz w:val="22"/>
          <w:szCs w:val="22"/>
        </w:rPr>
      </w:pPr>
      <w:r w:rsidRPr="00FC7942">
        <w:rPr>
          <w:rFonts w:asciiTheme="minorHAnsi" w:hAnsiTheme="minorHAnsi" w:cstheme="minorHAnsi"/>
          <w:i/>
          <w:color w:val="313335"/>
          <w:sz w:val="22"/>
          <w:szCs w:val="22"/>
        </w:rPr>
        <w:t>15,000 for first two (2) dwelling units plus 5,000 square feet per each additional dwelling unit.</w:t>
      </w:r>
    </w:p>
    <w:p w14:paraId="218AF868" w14:textId="021332D5" w:rsidR="00941C39" w:rsidRDefault="00941C39" w:rsidP="00941C39">
      <w:pPr>
        <w:pStyle w:val="incr1"/>
        <w:shd w:val="clear" w:color="auto" w:fill="FFFFFF" w:themeFill="background1"/>
        <w:spacing w:before="60" w:beforeAutospacing="0" w:after="60" w:afterAutospacing="0"/>
        <w:ind w:left="360"/>
        <w:jc w:val="both"/>
        <w:rPr>
          <w:rFonts w:asciiTheme="minorHAnsi" w:hAnsiTheme="minorHAnsi" w:cstheme="minorHAnsi"/>
          <w:color w:val="313335"/>
          <w:sz w:val="22"/>
          <w:szCs w:val="22"/>
        </w:rPr>
      </w:pPr>
      <w:r>
        <w:rPr>
          <w:rFonts w:asciiTheme="minorHAnsi" w:hAnsiTheme="minorHAnsi" w:cstheme="minorHAnsi"/>
          <w:color w:val="313335"/>
          <w:sz w:val="22"/>
          <w:szCs w:val="22"/>
        </w:rPr>
        <w:t xml:space="preserve">At </w:t>
      </w:r>
      <w:r>
        <w:rPr>
          <w:rFonts w:asciiTheme="minorHAnsi" w:hAnsiTheme="minorHAnsi" w:cstheme="minorHAnsi"/>
          <w:color w:val="313335"/>
          <w:sz w:val="22"/>
          <w:szCs w:val="22"/>
        </w:rPr>
        <w:t>56,527</w:t>
      </w:r>
      <w:r>
        <w:rPr>
          <w:rFonts w:asciiTheme="minorHAnsi" w:hAnsiTheme="minorHAnsi" w:cstheme="minorHAnsi"/>
          <w:color w:val="313335"/>
          <w:sz w:val="22"/>
          <w:szCs w:val="22"/>
        </w:rPr>
        <w:t xml:space="preserve"> square feet, the</w:t>
      </w:r>
      <w:r w:rsidRPr="00FC7942">
        <w:rPr>
          <w:rFonts w:asciiTheme="minorHAnsi" w:hAnsiTheme="minorHAnsi" w:cstheme="minorHAnsi"/>
          <w:color w:val="313335"/>
          <w:sz w:val="22"/>
          <w:szCs w:val="22"/>
        </w:rPr>
        <w:t xml:space="preserve"> maximum density</w:t>
      </w:r>
      <w:r>
        <w:rPr>
          <w:rFonts w:asciiTheme="minorHAnsi" w:hAnsiTheme="minorHAnsi" w:cstheme="minorHAnsi"/>
          <w:color w:val="313335"/>
          <w:sz w:val="22"/>
          <w:szCs w:val="22"/>
        </w:rPr>
        <w:t xml:space="preserve"> for the subject property is</w:t>
      </w:r>
      <w:r w:rsidRPr="00FC7942">
        <w:rPr>
          <w:rFonts w:asciiTheme="minorHAnsi" w:hAnsiTheme="minorHAnsi" w:cstheme="minorHAnsi"/>
          <w:color w:val="313335"/>
          <w:sz w:val="22"/>
          <w:szCs w:val="22"/>
        </w:rPr>
        <w:t xml:space="preserve"> </w:t>
      </w:r>
      <w:r>
        <w:rPr>
          <w:rFonts w:asciiTheme="minorHAnsi" w:hAnsiTheme="minorHAnsi" w:cstheme="minorHAnsi"/>
          <w:color w:val="313335"/>
          <w:sz w:val="22"/>
          <w:szCs w:val="22"/>
          <w:u w:val="single"/>
        </w:rPr>
        <w:t>10.31</w:t>
      </w:r>
      <w:r w:rsidRPr="00FC7942">
        <w:rPr>
          <w:rFonts w:asciiTheme="minorHAnsi" w:hAnsiTheme="minorHAnsi" w:cstheme="minorHAnsi"/>
          <w:color w:val="313335"/>
          <w:sz w:val="22"/>
          <w:szCs w:val="22"/>
          <w:u w:val="single"/>
        </w:rPr>
        <w:t xml:space="preserve"> dwelling units</w:t>
      </w:r>
      <w:r w:rsidRPr="00FC7942">
        <w:rPr>
          <w:rFonts w:asciiTheme="minorHAnsi" w:hAnsiTheme="minorHAnsi" w:cstheme="minorHAnsi"/>
          <w:color w:val="313335"/>
          <w:sz w:val="22"/>
          <w:szCs w:val="22"/>
        </w:rPr>
        <w:t>.</w:t>
      </w:r>
    </w:p>
    <w:p w14:paraId="01B2ED5C" w14:textId="77777777" w:rsidR="00941C39" w:rsidRDefault="00941C39" w:rsidP="008D31F2">
      <w:pPr>
        <w:pStyle w:val="incr1"/>
        <w:shd w:val="clear" w:color="auto" w:fill="FFFFFF" w:themeFill="background1"/>
        <w:spacing w:before="120" w:beforeAutospacing="0" w:after="60" w:afterAutospacing="0"/>
        <w:jc w:val="both"/>
        <w:rPr>
          <w:rFonts w:asciiTheme="minorHAnsi" w:hAnsiTheme="minorHAnsi" w:cstheme="minorHAnsi"/>
          <w:b/>
          <w:i/>
          <w:color w:val="313335"/>
          <w:sz w:val="22"/>
          <w:szCs w:val="22"/>
        </w:rPr>
      </w:pPr>
      <w:r>
        <w:rPr>
          <w:rFonts w:asciiTheme="minorHAnsi" w:hAnsiTheme="minorHAnsi" w:cstheme="minorHAnsi"/>
          <w:b/>
          <w:i/>
          <w:color w:val="313335"/>
          <w:sz w:val="22"/>
          <w:szCs w:val="22"/>
        </w:rPr>
        <w:t>Article IV, Section H – Multi-Household Land Development Project</w:t>
      </w:r>
    </w:p>
    <w:p w14:paraId="6AD0C08A" w14:textId="77777777" w:rsidR="008D31F2" w:rsidRDefault="00941C39" w:rsidP="00941C39">
      <w:pPr>
        <w:pStyle w:val="incr1"/>
        <w:shd w:val="clear" w:color="auto" w:fill="FFFFFF" w:themeFill="background1"/>
        <w:spacing w:before="60" w:beforeAutospacing="0" w:after="60" w:afterAutospacing="0"/>
        <w:ind w:left="360" w:right="115"/>
        <w:jc w:val="both"/>
        <w:rPr>
          <w:rFonts w:asciiTheme="minorHAnsi" w:hAnsiTheme="minorHAnsi" w:cstheme="minorHAnsi"/>
          <w:color w:val="313335"/>
          <w:sz w:val="22"/>
          <w:szCs w:val="22"/>
        </w:rPr>
      </w:pPr>
      <w:r>
        <w:rPr>
          <w:rFonts w:asciiTheme="minorHAnsi" w:hAnsiTheme="minorHAnsi" w:cstheme="minorHAnsi"/>
          <w:color w:val="313335"/>
          <w:sz w:val="22"/>
          <w:szCs w:val="22"/>
        </w:rPr>
        <w:t xml:space="preserve">Section </w:t>
      </w:r>
      <w:proofErr w:type="gramStart"/>
      <w:r>
        <w:rPr>
          <w:rFonts w:asciiTheme="minorHAnsi" w:hAnsiTheme="minorHAnsi" w:cstheme="minorHAnsi"/>
          <w:color w:val="313335"/>
          <w:sz w:val="22"/>
          <w:szCs w:val="22"/>
        </w:rPr>
        <w:t>H(</w:t>
      </w:r>
      <w:proofErr w:type="gramEnd"/>
      <w:r>
        <w:rPr>
          <w:rFonts w:asciiTheme="minorHAnsi" w:hAnsiTheme="minorHAnsi" w:cstheme="minorHAnsi"/>
          <w:color w:val="313335"/>
          <w:sz w:val="22"/>
          <w:szCs w:val="22"/>
        </w:rPr>
        <w:t xml:space="preserve">6) requires screening </w:t>
      </w:r>
      <w:r w:rsidR="008D31F2">
        <w:rPr>
          <w:rFonts w:asciiTheme="minorHAnsi" w:hAnsiTheme="minorHAnsi" w:cstheme="minorHAnsi"/>
          <w:color w:val="313335"/>
          <w:sz w:val="22"/>
          <w:szCs w:val="22"/>
        </w:rPr>
        <w:t xml:space="preserve">to provide a physical barrier and visual screen from adjacent properties.  Section </w:t>
      </w:r>
      <w:proofErr w:type="gramStart"/>
      <w:r w:rsidR="008D31F2">
        <w:rPr>
          <w:rFonts w:asciiTheme="minorHAnsi" w:hAnsiTheme="minorHAnsi" w:cstheme="minorHAnsi"/>
          <w:color w:val="313335"/>
          <w:sz w:val="22"/>
          <w:szCs w:val="22"/>
        </w:rPr>
        <w:t>H(</w:t>
      </w:r>
      <w:proofErr w:type="gramEnd"/>
      <w:r w:rsidR="008D31F2">
        <w:rPr>
          <w:rFonts w:asciiTheme="minorHAnsi" w:hAnsiTheme="minorHAnsi" w:cstheme="minorHAnsi"/>
          <w:color w:val="313335"/>
          <w:sz w:val="22"/>
          <w:szCs w:val="22"/>
        </w:rPr>
        <w:t>7) requires a minimum front yard setback of 100 feet along public streets with prohibitions on buildings, parking lots and other utility areas from being located within this setback.  A 50’ landscaped or natural buffer zone is required to be maintained along said public street.</w:t>
      </w:r>
      <w:r>
        <w:rPr>
          <w:rFonts w:asciiTheme="minorHAnsi" w:hAnsiTheme="minorHAnsi" w:cstheme="minorHAnsi"/>
          <w:color w:val="313335"/>
          <w:sz w:val="22"/>
          <w:szCs w:val="22"/>
        </w:rPr>
        <w:t xml:space="preserve">  Section </w:t>
      </w:r>
      <w:proofErr w:type="gramStart"/>
      <w:r>
        <w:rPr>
          <w:rFonts w:asciiTheme="minorHAnsi" w:hAnsiTheme="minorHAnsi" w:cstheme="minorHAnsi"/>
          <w:color w:val="313335"/>
          <w:sz w:val="22"/>
          <w:szCs w:val="22"/>
        </w:rPr>
        <w:t>H(</w:t>
      </w:r>
      <w:proofErr w:type="gramEnd"/>
      <w:r>
        <w:rPr>
          <w:rFonts w:asciiTheme="minorHAnsi" w:hAnsiTheme="minorHAnsi" w:cstheme="minorHAnsi"/>
          <w:color w:val="313335"/>
          <w:sz w:val="22"/>
          <w:szCs w:val="22"/>
        </w:rPr>
        <w:t>9) requires that</w:t>
      </w:r>
      <w:r w:rsidR="008D31F2">
        <w:rPr>
          <w:rFonts w:asciiTheme="minorHAnsi" w:hAnsiTheme="minorHAnsi" w:cstheme="minorHAnsi"/>
          <w:color w:val="313335"/>
          <w:sz w:val="22"/>
          <w:szCs w:val="22"/>
        </w:rPr>
        <w:t xml:space="preserve"> pedestrian walkways be provided for the development, and that</w:t>
      </w:r>
      <w:r>
        <w:rPr>
          <w:rFonts w:asciiTheme="minorHAnsi" w:hAnsiTheme="minorHAnsi" w:cstheme="minorHAnsi"/>
          <w:color w:val="313335"/>
          <w:sz w:val="22"/>
          <w:szCs w:val="22"/>
        </w:rPr>
        <w:t xml:space="preserve"> parking lot</w:t>
      </w:r>
      <w:r w:rsidR="008D31F2">
        <w:rPr>
          <w:rFonts w:asciiTheme="minorHAnsi" w:hAnsiTheme="minorHAnsi" w:cstheme="minorHAnsi"/>
          <w:color w:val="313335"/>
          <w:sz w:val="22"/>
          <w:szCs w:val="22"/>
        </w:rPr>
        <w:t>s</w:t>
      </w:r>
      <w:r>
        <w:rPr>
          <w:rFonts w:asciiTheme="minorHAnsi" w:hAnsiTheme="minorHAnsi" w:cstheme="minorHAnsi"/>
          <w:color w:val="313335"/>
          <w:sz w:val="22"/>
          <w:szCs w:val="22"/>
        </w:rPr>
        <w:t xml:space="preserve"> be set back from the wall of any building</w:t>
      </w:r>
      <w:r w:rsidR="008D31F2">
        <w:rPr>
          <w:rFonts w:asciiTheme="minorHAnsi" w:hAnsiTheme="minorHAnsi" w:cstheme="minorHAnsi"/>
          <w:color w:val="313335"/>
          <w:sz w:val="22"/>
          <w:szCs w:val="22"/>
        </w:rPr>
        <w:t xml:space="preserve"> (except garages</w:t>
      </w:r>
      <w:r>
        <w:rPr>
          <w:rFonts w:asciiTheme="minorHAnsi" w:hAnsiTheme="minorHAnsi" w:cstheme="minorHAnsi"/>
          <w:color w:val="313335"/>
          <w:sz w:val="22"/>
          <w:szCs w:val="22"/>
        </w:rPr>
        <w:t>, that 10% of the developable area (~5,</w:t>
      </w:r>
      <w:r w:rsidR="008D31F2">
        <w:rPr>
          <w:rFonts w:asciiTheme="minorHAnsi" w:hAnsiTheme="minorHAnsi" w:cstheme="minorHAnsi"/>
          <w:color w:val="313335"/>
          <w:sz w:val="22"/>
          <w:szCs w:val="22"/>
        </w:rPr>
        <w:t>6</w:t>
      </w:r>
      <w:r>
        <w:rPr>
          <w:rFonts w:asciiTheme="minorHAnsi" w:hAnsiTheme="minorHAnsi" w:cstheme="minorHAnsi"/>
          <w:color w:val="313335"/>
          <w:sz w:val="22"/>
          <w:szCs w:val="22"/>
        </w:rPr>
        <w:t>5</w:t>
      </w:r>
      <w:r w:rsidR="008D31F2">
        <w:rPr>
          <w:rFonts w:asciiTheme="minorHAnsi" w:hAnsiTheme="minorHAnsi" w:cstheme="minorHAnsi"/>
          <w:color w:val="313335"/>
          <w:sz w:val="22"/>
          <w:szCs w:val="22"/>
        </w:rPr>
        <w:t>3</w:t>
      </w:r>
      <w:r>
        <w:rPr>
          <w:rFonts w:asciiTheme="minorHAnsi" w:hAnsiTheme="minorHAnsi" w:cstheme="minorHAnsi"/>
          <w:color w:val="313335"/>
          <w:sz w:val="22"/>
          <w:szCs w:val="22"/>
        </w:rPr>
        <w:t xml:space="preserve"> square feet) must be dedicated as open space, type dictated by occupants and approved by the Planning Board, and that the minimum distance between buildings shall be 50’.</w:t>
      </w:r>
      <w:r w:rsidR="008D31F2">
        <w:rPr>
          <w:rFonts w:asciiTheme="minorHAnsi" w:hAnsiTheme="minorHAnsi" w:cstheme="minorHAnsi"/>
          <w:color w:val="313335"/>
          <w:sz w:val="22"/>
          <w:szCs w:val="22"/>
        </w:rPr>
        <w:t xml:space="preserve">  </w:t>
      </w:r>
    </w:p>
    <w:p w14:paraId="48488DCE" w14:textId="7F766C44" w:rsidR="00941C39" w:rsidRDefault="008D31F2" w:rsidP="00941C39">
      <w:pPr>
        <w:pStyle w:val="incr1"/>
        <w:shd w:val="clear" w:color="auto" w:fill="FFFFFF" w:themeFill="background1"/>
        <w:spacing w:before="60" w:beforeAutospacing="0" w:after="60" w:afterAutospacing="0"/>
        <w:ind w:left="360" w:right="115"/>
        <w:jc w:val="both"/>
        <w:rPr>
          <w:rFonts w:asciiTheme="minorHAnsi" w:hAnsiTheme="minorHAnsi" w:cstheme="minorHAnsi"/>
          <w:color w:val="313335"/>
          <w:sz w:val="22"/>
          <w:szCs w:val="22"/>
        </w:rPr>
      </w:pPr>
      <w:r>
        <w:rPr>
          <w:rFonts w:asciiTheme="minorHAnsi" w:hAnsiTheme="minorHAnsi" w:cstheme="minorHAnsi"/>
          <w:color w:val="313335"/>
          <w:sz w:val="22"/>
          <w:szCs w:val="22"/>
        </w:rPr>
        <w:t>A more thorough analysis of Article IV, Section H will be conducted by Staff if this project moves forward to the next stage of review.</w:t>
      </w:r>
    </w:p>
    <w:p w14:paraId="2274F833" w14:textId="77777777" w:rsidR="00941C39" w:rsidRDefault="00941C39" w:rsidP="008D31F2">
      <w:pPr>
        <w:pStyle w:val="incr1"/>
        <w:shd w:val="clear" w:color="auto" w:fill="FFFFFF" w:themeFill="background1"/>
        <w:spacing w:before="120" w:beforeAutospacing="0" w:after="60" w:afterAutospacing="0"/>
        <w:ind w:right="115"/>
        <w:jc w:val="both"/>
        <w:rPr>
          <w:rFonts w:asciiTheme="minorHAnsi" w:hAnsiTheme="minorHAnsi" w:cstheme="minorHAnsi"/>
          <w:b/>
          <w:i/>
          <w:color w:val="313335"/>
          <w:sz w:val="22"/>
          <w:szCs w:val="22"/>
        </w:rPr>
      </w:pPr>
      <w:r>
        <w:rPr>
          <w:rFonts w:asciiTheme="minorHAnsi" w:hAnsiTheme="minorHAnsi" w:cstheme="minorHAnsi"/>
          <w:b/>
          <w:i/>
          <w:color w:val="313335"/>
          <w:sz w:val="22"/>
          <w:szCs w:val="22"/>
        </w:rPr>
        <w:t>Inclusionary Zoning</w:t>
      </w:r>
    </w:p>
    <w:p w14:paraId="7C627745" w14:textId="77777777" w:rsidR="00941C39" w:rsidRPr="002C7C92" w:rsidRDefault="00941C39" w:rsidP="00941C39">
      <w:pPr>
        <w:spacing w:before="60" w:after="60" w:line="240" w:lineRule="auto"/>
        <w:ind w:left="360"/>
        <w:jc w:val="both"/>
        <w:rPr>
          <w:rFonts w:cstheme="minorHAnsi"/>
        </w:rPr>
      </w:pPr>
      <w:hyperlink r:id="rId7" w:history="1">
        <w:r w:rsidRPr="002C7C92">
          <w:rPr>
            <w:rStyle w:val="Hyperlink"/>
            <w:rFonts w:cstheme="minorHAnsi"/>
          </w:rPr>
          <w:t>Section 502.6 (Inclusionary Zoning)</w:t>
        </w:r>
      </w:hyperlink>
      <w:r w:rsidRPr="002C7C92">
        <w:rPr>
          <w:rFonts w:cstheme="minorHAnsi"/>
        </w:rPr>
        <w:t xml:space="preserve"> of the Zoning Ordinance outlines the Inclusionary Zoning requirements and procedures for major subdivisions or land development projects that consist of six (6) or more parcels or units.  </w:t>
      </w:r>
      <w:r>
        <w:rPr>
          <w:rFonts w:cstheme="minorHAnsi"/>
        </w:rPr>
        <w:t>Those requirements are listed, in part, below:</w:t>
      </w:r>
    </w:p>
    <w:p w14:paraId="68867B7D" w14:textId="77777777" w:rsidR="00941C39" w:rsidRPr="002C7C92" w:rsidRDefault="00941C39" w:rsidP="00941C39">
      <w:pPr>
        <w:shd w:val="clear" w:color="auto" w:fill="FFFFFF"/>
        <w:spacing w:before="60" w:after="60" w:line="240" w:lineRule="auto"/>
        <w:ind w:left="1080" w:right="187" w:hanging="360"/>
        <w:jc w:val="both"/>
        <w:rPr>
          <w:rFonts w:eastAsia="Times New Roman" w:cstheme="minorHAnsi"/>
          <w:spacing w:val="2"/>
        </w:rPr>
      </w:pPr>
      <w:r w:rsidRPr="002C7C92">
        <w:rPr>
          <w:rFonts w:eastAsia="Times New Roman" w:cstheme="minorHAnsi"/>
          <w:color w:val="313335"/>
          <w:spacing w:val="2"/>
        </w:rPr>
        <w:t>E.</w:t>
      </w:r>
      <w:r w:rsidRPr="002C7C92">
        <w:rPr>
          <w:rFonts w:eastAsia="Times New Roman" w:cstheme="minorHAnsi"/>
          <w:color w:val="313335"/>
          <w:spacing w:val="2"/>
        </w:rPr>
        <w:tab/>
      </w:r>
      <w:r w:rsidRPr="00FC7942">
        <w:rPr>
          <w:rFonts w:eastAsia="Times New Roman" w:cstheme="minorHAnsi"/>
          <w:i/>
          <w:iCs/>
          <w:spacing w:val="2"/>
        </w:rPr>
        <w:t>Base density calculation, inclusionary requirements and targeted populations.</w:t>
      </w:r>
      <w:r w:rsidRPr="002C7C92">
        <w:rPr>
          <w:rFonts w:eastAsia="Times New Roman" w:cstheme="minorHAnsi"/>
          <w:spacing w:val="2"/>
        </w:rPr>
        <w:t> </w:t>
      </w:r>
      <w:r w:rsidRPr="00FC7942">
        <w:rPr>
          <w:rFonts w:eastAsia="Times New Roman" w:cstheme="minorHAnsi"/>
          <w:spacing w:val="2"/>
        </w:rPr>
        <w:t>…</w:t>
      </w:r>
      <w:r w:rsidRPr="002C7C92">
        <w:rPr>
          <w:rFonts w:eastAsia="Times New Roman" w:cstheme="minorHAnsi"/>
          <w:spacing w:val="2"/>
        </w:rPr>
        <w:t>A minimum of 20 percent of the basic maximum number of lots/units must be affordable to low and/or moderate income households as defined under G.L. 1956, §45-53, Low and Moderate Income Housing Act</w:t>
      </w:r>
      <w:r w:rsidRPr="00FC7942">
        <w:rPr>
          <w:rFonts w:eastAsia="Times New Roman" w:cstheme="minorHAnsi"/>
          <w:spacing w:val="2"/>
        </w:rPr>
        <w:t>..</w:t>
      </w:r>
      <w:r w:rsidRPr="002C7C92">
        <w:rPr>
          <w:rFonts w:eastAsia="Times New Roman" w:cstheme="minorHAnsi"/>
          <w:spacing w:val="2"/>
        </w:rPr>
        <w:t>.To facilitate such targeting and ensure that</w:t>
      </w:r>
      <w:r w:rsidRPr="00FC7942">
        <w:rPr>
          <w:rFonts w:eastAsia="Times New Roman" w:cstheme="minorHAnsi"/>
          <w:spacing w:val="2"/>
        </w:rPr>
        <w:t xml:space="preserve"> inclusionary</w:t>
      </w:r>
      <w:r w:rsidRPr="002C7C92">
        <w:rPr>
          <w:rFonts w:eastAsia="Times New Roman" w:cstheme="minorHAnsi"/>
          <w:spacing w:val="2"/>
        </w:rPr>
        <w:t> units are well integrated into the subdivision or land development project, the planning board shall have the authority to specify the type and location of unit(s) to be constructed, the size and scale of these units or lots in relation to the market rate units or lots in the development, establish general design parameters for the</w:t>
      </w:r>
      <w:r w:rsidRPr="00FC7942">
        <w:rPr>
          <w:rFonts w:eastAsia="Times New Roman" w:cstheme="minorHAnsi"/>
          <w:spacing w:val="2"/>
        </w:rPr>
        <w:t xml:space="preserve"> inclusionary</w:t>
      </w:r>
      <w:r w:rsidRPr="002C7C92">
        <w:rPr>
          <w:rFonts w:eastAsia="Times New Roman" w:cstheme="minorHAnsi"/>
          <w:spacing w:val="2"/>
        </w:rPr>
        <w:t> units and determine a construction time table for construction.</w:t>
      </w:r>
    </w:p>
    <w:p w14:paraId="0A3C5A22" w14:textId="77777777" w:rsidR="00941C39" w:rsidRPr="00FC7942" w:rsidRDefault="00941C39" w:rsidP="00941C39">
      <w:pPr>
        <w:spacing w:before="60" w:after="60" w:line="240" w:lineRule="auto"/>
        <w:ind w:left="1080" w:right="187" w:hanging="360"/>
        <w:jc w:val="both"/>
        <w:rPr>
          <w:rFonts w:cstheme="minorHAnsi"/>
          <w:spacing w:val="2"/>
          <w:shd w:val="clear" w:color="auto" w:fill="FFFFFF"/>
        </w:rPr>
      </w:pPr>
      <w:r w:rsidRPr="00FC7942">
        <w:rPr>
          <w:rFonts w:cstheme="minorHAnsi"/>
          <w:spacing w:val="2"/>
          <w:shd w:val="clear" w:color="auto" w:fill="FFFFFF"/>
        </w:rPr>
        <w:t>F.</w:t>
      </w:r>
      <w:r w:rsidRPr="00FC7942">
        <w:rPr>
          <w:rFonts w:cstheme="minorHAnsi"/>
          <w:spacing w:val="2"/>
          <w:shd w:val="clear" w:color="auto" w:fill="FFFFFF"/>
        </w:rPr>
        <w:tab/>
      </w:r>
      <w:r w:rsidRPr="00FC7942">
        <w:rPr>
          <w:rFonts w:cstheme="minorHAnsi"/>
          <w:i/>
          <w:spacing w:val="2"/>
          <w:shd w:val="clear" w:color="auto" w:fill="FFFFFF"/>
        </w:rPr>
        <w:t xml:space="preserve">Zoning Incentive.  </w:t>
      </w:r>
      <w:r w:rsidRPr="00FC7942">
        <w:rPr>
          <w:rFonts w:cstheme="minorHAnsi"/>
          <w:spacing w:val="2"/>
          <w:shd w:val="clear" w:color="auto" w:fill="FFFFFF"/>
        </w:rPr>
        <w:t>For all subdivisions, flexible design land development projects and land development projects that are subject to the provisions of this section, a zoning incentive increasing the basic maximum number of lots or dwelling units by a factor of 1.2 shall be required. Units required under the zoning incentive provisions of this section shall count toward the maximum zoning incentive permitted under subsection 502.5.E of this ordinance. The requirement for such inclusionary units shall constitute a municipal government subsidy as defined under the RI Low and Moderate Income Housing Act and this ordinance.</w:t>
      </w:r>
    </w:p>
    <w:p w14:paraId="485A7729" w14:textId="77777777" w:rsidR="00941C39" w:rsidRPr="002C7C92" w:rsidRDefault="00941C39" w:rsidP="00941C39">
      <w:pPr>
        <w:shd w:val="clear" w:color="auto" w:fill="FFFFFF"/>
        <w:spacing w:before="60" w:after="60" w:line="240" w:lineRule="auto"/>
        <w:ind w:left="1080" w:right="187" w:hanging="360"/>
        <w:jc w:val="both"/>
        <w:rPr>
          <w:rFonts w:eastAsia="Times New Roman" w:cstheme="minorHAnsi"/>
          <w:color w:val="313335"/>
          <w:spacing w:val="2"/>
        </w:rPr>
      </w:pPr>
      <w:r w:rsidRPr="002C7C92">
        <w:rPr>
          <w:rFonts w:eastAsia="Times New Roman" w:cstheme="minorHAnsi"/>
          <w:spacing w:val="2"/>
        </w:rPr>
        <w:lastRenderedPageBreak/>
        <w:t>G.</w:t>
      </w:r>
      <w:r w:rsidRPr="00FC7942">
        <w:rPr>
          <w:rFonts w:eastAsia="Times New Roman" w:cstheme="minorHAnsi"/>
          <w:spacing w:val="2"/>
        </w:rPr>
        <w:tab/>
      </w:r>
      <w:r w:rsidRPr="00FC7942">
        <w:rPr>
          <w:rFonts w:eastAsia="Times New Roman" w:cstheme="minorHAnsi"/>
          <w:i/>
          <w:iCs/>
          <w:spacing w:val="2"/>
        </w:rPr>
        <w:t>Inclusionary units, deed restriction requirements.</w:t>
      </w:r>
      <w:r w:rsidRPr="002C7C92">
        <w:rPr>
          <w:rFonts w:eastAsia="Times New Roman" w:cstheme="minorHAnsi"/>
          <w:spacing w:val="2"/>
        </w:rPr>
        <w:t> All</w:t>
      </w:r>
      <w:r w:rsidRPr="00FC7942">
        <w:rPr>
          <w:rFonts w:eastAsia="Times New Roman" w:cstheme="minorHAnsi"/>
          <w:spacing w:val="2"/>
        </w:rPr>
        <w:t xml:space="preserve"> inclusionary</w:t>
      </w:r>
      <w:r w:rsidRPr="002C7C92">
        <w:rPr>
          <w:rFonts w:eastAsia="Times New Roman" w:cstheme="minorHAnsi"/>
          <w:spacing w:val="2"/>
        </w:rPr>
        <w:t> units required under this section shall meet the definition of "low and moderate income housing" as defined in G.L. 1956, § 45-53-3; provided however that units and/or lots generated under these</w:t>
      </w:r>
      <w:r w:rsidRPr="00FC7942">
        <w:rPr>
          <w:rFonts w:eastAsia="Times New Roman" w:cstheme="minorHAnsi"/>
          <w:spacing w:val="2"/>
        </w:rPr>
        <w:t xml:space="preserve"> </w:t>
      </w:r>
      <w:r w:rsidRPr="002C7C92">
        <w:rPr>
          <w:rFonts w:eastAsia="Times New Roman" w:cstheme="minorHAnsi"/>
          <w:color w:val="313335"/>
          <w:spacing w:val="2"/>
        </w:rPr>
        <w:t>inclusionary provisions shall remain affordable for a minimum period of 99 years. Further provided that any for-sale lots or units shall be sold or conveyed to persons or households earning up to 80 percent of the area median income (AMI) for South Kingstown as defined by the U.S. Department of Housing and Urban Development.</w:t>
      </w:r>
    </w:p>
    <w:p w14:paraId="519A2B32" w14:textId="77777777" w:rsidR="00941C39" w:rsidRPr="002C7C92" w:rsidRDefault="00941C39" w:rsidP="00941C39">
      <w:pPr>
        <w:shd w:val="clear" w:color="auto" w:fill="FFFFFF"/>
        <w:spacing w:before="60" w:after="60" w:line="240" w:lineRule="auto"/>
        <w:ind w:left="1080" w:right="187"/>
        <w:jc w:val="both"/>
        <w:rPr>
          <w:rFonts w:eastAsia="Times New Roman" w:cstheme="minorHAnsi"/>
          <w:color w:val="313335"/>
          <w:spacing w:val="2"/>
        </w:rPr>
      </w:pPr>
      <w:r w:rsidRPr="002C7C92">
        <w:rPr>
          <w:rFonts w:eastAsia="Times New Roman" w:cstheme="minorHAnsi"/>
          <w:color w:val="313335"/>
          <w:spacing w:val="2"/>
        </w:rPr>
        <w:t>The developer of inclusionary units must contract with a monitoring agency that will qualify home buyers and/or renters for initial occupancy, determine pricing and resale or transfer of dwelling units in accordance with RI Housing and Mortgage Finance Corporation regulations and standards. Rhode Island Housing and the Town of South Kingstown shall be a party to any such monitoring agreement. Long-term affordability shall be guaranteed through the recording of restrictions on the sale, transfer and ownership of the unit through the appropriate legal documents and monitoring agreement.</w:t>
      </w:r>
    </w:p>
    <w:p w14:paraId="22780C0F" w14:textId="77777777" w:rsidR="00941C39" w:rsidRPr="00834323" w:rsidRDefault="00941C39" w:rsidP="00941C39">
      <w:pPr>
        <w:shd w:val="clear" w:color="auto" w:fill="FFFFFF"/>
        <w:spacing w:before="60" w:after="60" w:line="240" w:lineRule="auto"/>
        <w:ind w:left="1080" w:right="187" w:hanging="360"/>
        <w:jc w:val="both"/>
        <w:rPr>
          <w:rFonts w:cstheme="minorHAnsi"/>
          <w:color w:val="313335"/>
          <w:spacing w:val="2"/>
        </w:rPr>
      </w:pPr>
      <w:r w:rsidRPr="00834323">
        <w:rPr>
          <w:rFonts w:eastAsia="Times New Roman" w:cstheme="minorHAnsi"/>
          <w:i/>
          <w:iCs/>
          <w:color w:val="313335"/>
          <w:spacing w:val="2"/>
        </w:rPr>
        <w:t>I.</w:t>
      </w:r>
      <w:r>
        <w:rPr>
          <w:rFonts w:cstheme="minorHAnsi"/>
          <w:i/>
          <w:iCs/>
          <w:color w:val="313335"/>
          <w:spacing w:val="2"/>
        </w:rPr>
        <w:tab/>
      </w:r>
      <w:r w:rsidRPr="00834323">
        <w:rPr>
          <w:rFonts w:cstheme="minorHAnsi"/>
          <w:i/>
          <w:iCs/>
          <w:color w:val="313335"/>
          <w:spacing w:val="2"/>
        </w:rPr>
        <w:t>Modification of lot requirements for inclusionary units.</w:t>
      </w:r>
      <w:r w:rsidRPr="00834323">
        <w:rPr>
          <w:rFonts w:cstheme="minorHAnsi"/>
          <w:color w:val="313335"/>
          <w:spacing w:val="2"/>
        </w:rPr>
        <w:t> To encourage good design and to reduce construction, land and infrastructure costs the planning board shall have the discretion to modify (or require the modification of) minimum dimensional standards for inclusionary dwelling units/lots. Such modifications shall be in accord with the standards and requirements set forth in subsection 502.5.F of this ordinance.</w:t>
      </w:r>
    </w:p>
    <w:p w14:paraId="72736EB1" w14:textId="4D1F229E" w:rsidR="00941C39" w:rsidRPr="00834323" w:rsidRDefault="00941C39" w:rsidP="00167F2A">
      <w:pPr>
        <w:spacing w:before="60" w:after="60" w:line="240" w:lineRule="auto"/>
        <w:ind w:left="360"/>
        <w:jc w:val="both"/>
      </w:pPr>
      <w:r>
        <w:t xml:space="preserve">The zoning incentives within the Inclusionary Zoning provisions of the Ordinance allow for a total of twelve (12) units with two (2) being deed restricted affordable units.  The applicant is proposing a total of </w:t>
      </w:r>
      <w:r>
        <w:t>ten (10</w:t>
      </w:r>
      <w:r>
        <w:t xml:space="preserve">) units with two (2) deed restricted affordable units. </w:t>
      </w:r>
      <w:r w:rsidR="002410FB">
        <w:t xml:space="preserve"> The applicant will need to provide a Yield Plan in accordance with Section 502.</w:t>
      </w:r>
      <w:r w:rsidR="00167F2A">
        <w:t>6(E) as referenced above.</w:t>
      </w:r>
      <w:bookmarkStart w:id="0" w:name="_GoBack"/>
      <w:bookmarkEnd w:id="0"/>
    </w:p>
    <w:p w14:paraId="2103058F" w14:textId="4F8183F4" w:rsidR="00BD5464" w:rsidRPr="00CD0E96" w:rsidRDefault="00BD5464" w:rsidP="00BD5464">
      <w:pPr>
        <w:pStyle w:val="Layer3"/>
        <w:pBdr>
          <w:bottom w:val="single" w:sz="6" w:space="1" w:color="auto"/>
        </w:pBdr>
        <w:spacing w:before="240" w:after="120"/>
        <w:ind w:left="0"/>
      </w:pPr>
      <w:r>
        <w:t>Waivers Requested</w:t>
      </w:r>
    </w:p>
    <w:p w14:paraId="0CB59852" w14:textId="2C054929" w:rsidR="002C3453" w:rsidRPr="00507F73" w:rsidRDefault="00BD5464" w:rsidP="00F14E2F">
      <w:pPr>
        <w:pStyle w:val="incr1"/>
        <w:shd w:val="clear" w:color="auto" w:fill="FFFFFF" w:themeFill="background1"/>
        <w:spacing w:before="60" w:beforeAutospacing="0" w:after="60" w:afterAutospacing="0"/>
        <w:ind w:left="187" w:right="115"/>
        <w:jc w:val="both"/>
        <w:rPr>
          <w:rFonts w:asciiTheme="minorHAnsi" w:hAnsiTheme="minorHAnsi" w:cstheme="minorHAnsi"/>
          <w:sz w:val="22"/>
          <w:szCs w:val="22"/>
        </w:rPr>
      </w:pPr>
      <w:r>
        <w:rPr>
          <w:rFonts w:asciiTheme="minorHAnsi" w:hAnsiTheme="minorHAnsi" w:cstheme="minorHAnsi"/>
          <w:sz w:val="22"/>
          <w:szCs w:val="22"/>
        </w:rPr>
        <w:t xml:space="preserve">The applicant has not indicated </w:t>
      </w:r>
      <w:r w:rsidR="002410FB">
        <w:rPr>
          <w:rFonts w:asciiTheme="minorHAnsi" w:hAnsiTheme="minorHAnsi" w:cstheme="minorHAnsi"/>
          <w:sz w:val="22"/>
          <w:szCs w:val="22"/>
        </w:rPr>
        <w:t xml:space="preserve">that </w:t>
      </w:r>
      <w:r>
        <w:rPr>
          <w:rFonts w:asciiTheme="minorHAnsi" w:hAnsiTheme="minorHAnsi" w:cstheme="minorHAnsi"/>
          <w:sz w:val="22"/>
          <w:szCs w:val="22"/>
        </w:rPr>
        <w:t xml:space="preserve">any waivers </w:t>
      </w:r>
      <w:r w:rsidR="002410FB">
        <w:rPr>
          <w:rFonts w:asciiTheme="minorHAnsi" w:hAnsiTheme="minorHAnsi" w:cstheme="minorHAnsi"/>
          <w:sz w:val="22"/>
          <w:szCs w:val="22"/>
        </w:rPr>
        <w:t>are being</w:t>
      </w:r>
      <w:r>
        <w:rPr>
          <w:rFonts w:asciiTheme="minorHAnsi" w:hAnsiTheme="minorHAnsi" w:cstheme="minorHAnsi"/>
          <w:sz w:val="22"/>
          <w:szCs w:val="22"/>
        </w:rPr>
        <w:t xml:space="preserve"> requested at this time.</w:t>
      </w:r>
    </w:p>
    <w:p w14:paraId="3E4250E9" w14:textId="63CAF684" w:rsidR="00B43A9E" w:rsidRPr="00C338D2" w:rsidRDefault="00B43A9E" w:rsidP="00681BF3">
      <w:pPr>
        <w:pStyle w:val="Layer3"/>
        <w:pBdr>
          <w:bottom w:val="single" w:sz="6" w:space="1" w:color="auto"/>
        </w:pBdr>
        <w:spacing w:before="120" w:after="60" w:line="276" w:lineRule="auto"/>
        <w:ind w:left="0"/>
      </w:pPr>
      <w:r w:rsidRPr="00C338D2">
        <w:t>Required Findings</w:t>
      </w:r>
    </w:p>
    <w:p w14:paraId="282F964F" w14:textId="2800A9D3" w:rsidR="002410FB" w:rsidRPr="00C338D2" w:rsidRDefault="002410FB" w:rsidP="002410FB">
      <w:pPr>
        <w:pStyle w:val="Default"/>
        <w:spacing w:before="120" w:after="60" w:line="276" w:lineRule="auto"/>
        <w:ind w:left="360" w:hanging="360"/>
        <w:jc w:val="both"/>
        <w:rPr>
          <w:sz w:val="22"/>
          <w:szCs w:val="22"/>
        </w:rPr>
      </w:pPr>
      <w:r w:rsidRPr="00C338D2">
        <w:rPr>
          <w:sz w:val="22"/>
          <w:szCs w:val="22"/>
        </w:rPr>
        <w:t xml:space="preserve">In approving this </w:t>
      </w:r>
      <w:r>
        <w:rPr>
          <w:sz w:val="22"/>
          <w:szCs w:val="22"/>
        </w:rPr>
        <w:t>land development</w:t>
      </w:r>
      <w:r w:rsidRPr="00C338D2">
        <w:rPr>
          <w:sz w:val="22"/>
          <w:szCs w:val="22"/>
        </w:rPr>
        <w:t xml:space="preserve"> request, the Board must make positive findings on the following standard provisions: </w:t>
      </w:r>
    </w:p>
    <w:p w14:paraId="44A6204D" w14:textId="77777777" w:rsidR="002410FB" w:rsidRDefault="002410FB" w:rsidP="002410FB">
      <w:pPr>
        <w:pStyle w:val="ListParagraph"/>
        <w:numPr>
          <w:ilvl w:val="0"/>
          <w:numId w:val="9"/>
        </w:numPr>
        <w:spacing w:before="60" w:after="60"/>
        <w:ind w:left="720" w:right="720"/>
        <w:contextualSpacing w:val="0"/>
        <w:rPr>
          <w:color w:val="000000" w:themeColor="text1"/>
        </w:rPr>
      </w:pPr>
      <w:r w:rsidRPr="00D52B0E">
        <w:rPr>
          <w:color w:val="000000" w:themeColor="text1"/>
        </w:rPr>
        <w:t>The proposed development is consistent with the comprehensive community plan and/or has satisfactorily addressed the issues where there may be inconsistencies;</w:t>
      </w:r>
    </w:p>
    <w:p w14:paraId="34320E61" w14:textId="77777777" w:rsidR="002410FB" w:rsidRDefault="002410FB" w:rsidP="002410FB">
      <w:pPr>
        <w:pStyle w:val="ListParagraph"/>
        <w:numPr>
          <w:ilvl w:val="0"/>
          <w:numId w:val="9"/>
        </w:numPr>
        <w:spacing w:before="60" w:after="60"/>
        <w:ind w:left="720" w:right="720"/>
        <w:contextualSpacing w:val="0"/>
        <w:rPr>
          <w:color w:val="000000" w:themeColor="text1"/>
        </w:rPr>
      </w:pPr>
      <w:r w:rsidRPr="00D52B0E">
        <w:rPr>
          <w:color w:val="000000" w:themeColor="text1"/>
        </w:rPr>
        <w:t>The proposed development is in compliance with the standards and provisions of the municipality's zoning ordinance;</w:t>
      </w:r>
    </w:p>
    <w:p w14:paraId="7F5E61FF" w14:textId="77777777" w:rsidR="002410FB" w:rsidRDefault="002410FB" w:rsidP="002410FB">
      <w:pPr>
        <w:pStyle w:val="ListParagraph"/>
        <w:numPr>
          <w:ilvl w:val="0"/>
          <w:numId w:val="9"/>
        </w:numPr>
        <w:spacing w:before="60" w:after="60"/>
        <w:ind w:left="720" w:right="720"/>
        <w:contextualSpacing w:val="0"/>
        <w:rPr>
          <w:color w:val="000000" w:themeColor="text1"/>
        </w:rPr>
      </w:pPr>
      <w:r w:rsidRPr="00D52B0E">
        <w:rPr>
          <w:color w:val="000000" w:themeColor="text1"/>
        </w:rPr>
        <w:t>There will be no significant negative environmental impacts from the proposed development as shown on the final plan, with all required conditions for approval;</w:t>
      </w:r>
    </w:p>
    <w:p w14:paraId="62E26DC5" w14:textId="48B49448" w:rsidR="002410FB" w:rsidRDefault="002410FB" w:rsidP="002410FB">
      <w:pPr>
        <w:pStyle w:val="ListParagraph"/>
        <w:numPr>
          <w:ilvl w:val="0"/>
          <w:numId w:val="9"/>
        </w:numPr>
        <w:spacing w:before="60" w:after="60"/>
        <w:ind w:left="720" w:right="720"/>
        <w:contextualSpacing w:val="0"/>
        <w:rPr>
          <w:color w:val="000000" w:themeColor="text1"/>
        </w:rPr>
      </w:pPr>
      <w:r w:rsidRPr="00D52B0E">
        <w:rPr>
          <w:color w:val="000000" w:themeColor="text1"/>
        </w:rPr>
        <w:t xml:space="preserve">The </w:t>
      </w:r>
      <w:r>
        <w:rPr>
          <w:color w:val="000000" w:themeColor="text1"/>
        </w:rPr>
        <w:t>development</w:t>
      </w:r>
      <w:r w:rsidRPr="00D52B0E">
        <w:rPr>
          <w:color w:val="000000" w:themeColor="text1"/>
        </w:rPr>
        <w:t>, as proposed, will not result in the creation of individual lots with any physical constraints to development that building on those lots according to pertinent regulations and building standards would be impracticable. (See definition of Buildable lot). Lots with physical constraints to development may be created only if identified as permanent open space or permanently reserved for a public purpose on the approved, recorded plans; and</w:t>
      </w:r>
    </w:p>
    <w:p w14:paraId="2399FB68" w14:textId="77777777" w:rsidR="002410FB" w:rsidRPr="00D52B0E" w:rsidRDefault="002410FB" w:rsidP="002410FB">
      <w:pPr>
        <w:pStyle w:val="ListParagraph"/>
        <w:numPr>
          <w:ilvl w:val="0"/>
          <w:numId w:val="9"/>
        </w:numPr>
        <w:spacing w:before="60" w:after="60"/>
        <w:ind w:left="720" w:right="720"/>
        <w:contextualSpacing w:val="0"/>
        <w:rPr>
          <w:color w:val="000000" w:themeColor="text1"/>
        </w:rPr>
      </w:pPr>
      <w:r w:rsidRPr="00D52B0E">
        <w:rPr>
          <w:color w:val="000000" w:themeColor="text1"/>
        </w:rPr>
        <w:t>All proposed land developments and all subdivision lots have adequate and permanent physical access to a public street. Lot frontage on a public street without physical access shall not be considered in compliance with this requirement.</w:t>
      </w:r>
    </w:p>
    <w:p w14:paraId="0A15D1A9" w14:textId="77777777" w:rsidR="002410FB" w:rsidRDefault="002410FB" w:rsidP="002410FB">
      <w:pPr>
        <w:spacing w:before="60" w:after="60"/>
        <w:ind w:hanging="360"/>
        <w:rPr>
          <w:color w:val="000000" w:themeColor="text1"/>
        </w:rPr>
      </w:pPr>
    </w:p>
    <w:p w14:paraId="654E7A47" w14:textId="3A41D1AE" w:rsidR="002410FB" w:rsidRDefault="002410FB" w:rsidP="002410FB">
      <w:pPr>
        <w:spacing w:before="60" w:after="60"/>
        <w:ind w:hanging="360"/>
        <w:rPr>
          <w:color w:val="000000" w:themeColor="text1"/>
        </w:rPr>
      </w:pPr>
      <w:r>
        <w:rPr>
          <w:color w:val="000000" w:themeColor="text1"/>
        </w:rPr>
        <w:lastRenderedPageBreak/>
        <w:t>The approving authority</w:t>
      </w:r>
      <w:r w:rsidRPr="004F22CB">
        <w:rPr>
          <w:color w:val="000000" w:themeColor="text1"/>
        </w:rPr>
        <w:t xml:space="preserve"> must </w:t>
      </w:r>
      <w:r>
        <w:rPr>
          <w:color w:val="000000" w:themeColor="text1"/>
        </w:rPr>
        <w:t xml:space="preserve">also </w:t>
      </w:r>
      <w:r w:rsidRPr="004F22CB">
        <w:rPr>
          <w:color w:val="000000" w:themeColor="text1"/>
        </w:rPr>
        <w:t>address each of the following general purposes</w:t>
      </w:r>
      <w:r>
        <w:rPr>
          <w:color w:val="000000" w:themeColor="text1"/>
        </w:rPr>
        <w:t xml:space="preserve"> of zoning</w:t>
      </w:r>
      <w:r w:rsidRPr="004F22CB">
        <w:rPr>
          <w:color w:val="000000" w:themeColor="text1"/>
        </w:rPr>
        <w:t>:</w:t>
      </w:r>
    </w:p>
    <w:p w14:paraId="0EB5EA29"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Providing for the orderly, thorough and expeditious review and approval of land developments and subdivisions;</w:t>
      </w:r>
    </w:p>
    <w:p w14:paraId="73E4DDBD"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Promoting high quality and appropriate design and construction of land developments and subdivisions;</w:t>
      </w:r>
    </w:p>
    <w:p w14:paraId="2E1B9A5E"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Promoting the protection of the existing natural and built environment and the mitigation of all significant negative impacts of any proposed development on the existing environment;</w:t>
      </w:r>
    </w:p>
    <w:p w14:paraId="73FDC19E"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Promoting design of land developments and subdivisions which are well-integrated with the surrounding neighborhoods with regard to natural and built features, and which concentrate development in areas which can best support intensive use by reason of natural characteristics and existing infrastructure;</w:t>
      </w:r>
    </w:p>
    <w:p w14:paraId="68F9B073"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Encouraging local design and improvement standards to reflect the intent of the community comprehensive plans with regard to the physical character of the various neighborhoods and districts of the municipality;</w:t>
      </w:r>
    </w:p>
    <w:p w14:paraId="4DF314E7"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Promoting thorough technical review of all proposed land developments and subdivisions by appropriate local officials;</w:t>
      </w:r>
    </w:p>
    <w:p w14:paraId="0175B5B1" w14:textId="77777777" w:rsidR="002410FB"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Encouraging local requirements for dedications of public land, impact mitigation, and payment-in-lieu thereof, to be based on clear documentation of needs and to be fairly applied and administered; and</w:t>
      </w:r>
    </w:p>
    <w:p w14:paraId="1BC7FDA0" w14:textId="77777777" w:rsidR="002410FB" w:rsidRPr="00D52B0E" w:rsidRDefault="002410FB" w:rsidP="002410FB">
      <w:pPr>
        <w:pStyle w:val="ListParagraph"/>
        <w:numPr>
          <w:ilvl w:val="0"/>
          <w:numId w:val="11"/>
        </w:numPr>
        <w:spacing w:before="60" w:after="60"/>
        <w:ind w:left="720" w:right="720"/>
        <w:contextualSpacing w:val="0"/>
        <w:rPr>
          <w:color w:val="000000" w:themeColor="text1"/>
        </w:rPr>
      </w:pPr>
      <w:r w:rsidRPr="00D52B0E">
        <w:rPr>
          <w:color w:val="000000" w:themeColor="text1"/>
        </w:rPr>
        <w:t>Encouraging the establishment and consistent application of procedures for local record-keeping on all matters of land development and subdivision review, approval and construction. </w:t>
      </w:r>
    </w:p>
    <w:p w14:paraId="23F1FFA3" w14:textId="50D8CCA4" w:rsidR="00307FC3" w:rsidRPr="00F40250" w:rsidRDefault="00307FC3" w:rsidP="002410FB">
      <w:pPr>
        <w:pStyle w:val="Default"/>
        <w:spacing w:before="60" w:after="60"/>
        <w:jc w:val="both"/>
      </w:pPr>
    </w:p>
    <w:sectPr w:rsidR="00307FC3" w:rsidRPr="00F40250" w:rsidSect="00D52161">
      <w:headerReference w:type="default" r:id="rId8"/>
      <w:footerReference w:type="default" r:id="rId9"/>
      <w:headerReference w:type="first" r:id="rId10"/>
      <w:footerReference w:type="first" r:id="rId11"/>
      <w:pgSz w:w="12240" w:h="15840"/>
      <w:pgMar w:top="1440" w:right="1440" w:bottom="720" w:left="1440" w:header="720" w:footer="3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C6D7" w14:textId="77777777" w:rsidR="000F7902" w:rsidRDefault="000F7902" w:rsidP="00C37C83">
      <w:pPr>
        <w:spacing w:after="0" w:line="240" w:lineRule="auto"/>
      </w:pPr>
      <w:r>
        <w:separator/>
      </w:r>
    </w:p>
  </w:endnote>
  <w:endnote w:type="continuationSeparator" w:id="0">
    <w:p w14:paraId="1D00034E" w14:textId="77777777" w:rsidR="000F7902" w:rsidRDefault="000F7902" w:rsidP="00C3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92615"/>
      <w:docPartObj>
        <w:docPartGallery w:val="Page Numbers (Top of Page)"/>
        <w:docPartUnique/>
      </w:docPartObj>
    </w:sdtPr>
    <w:sdtEndPr/>
    <w:sdtContent>
      <w:p w14:paraId="0597E685" w14:textId="545AE69F" w:rsidR="000F7902" w:rsidRPr="00940EF4" w:rsidRDefault="000F7902" w:rsidP="00940EF4">
        <w:pPr>
          <w:pStyle w:val="Footer"/>
          <w:tabs>
            <w:tab w:val="clear" w:pos="4680"/>
            <w:tab w:val="left" w:pos="0"/>
          </w:tabs>
        </w:pPr>
        <w:r>
          <w:tab/>
        </w:r>
        <w:r w:rsidRPr="00C729BD">
          <w:rPr>
            <w:sz w:val="20"/>
            <w:szCs w:val="20"/>
          </w:rPr>
          <w:t xml:space="preserve">Page </w:t>
        </w:r>
        <w:r w:rsidRPr="00C729BD">
          <w:rPr>
            <w:bCs/>
            <w:sz w:val="20"/>
            <w:szCs w:val="20"/>
          </w:rPr>
          <w:fldChar w:fldCharType="begin"/>
        </w:r>
        <w:r w:rsidRPr="00C729BD">
          <w:rPr>
            <w:bCs/>
            <w:sz w:val="20"/>
            <w:szCs w:val="20"/>
          </w:rPr>
          <w:instrText xml:space="preserve"> PAGE </w:instrText>
        </w:r>
        <w:r w:rsidRPr="00C729BD">
          <w:rPr>
            <w:bCs/>
            <w:sz w:val="20"/>
            <w:szCs w:val="20"/>
          </w:rPr>
          <w:fldChar w:fldCharType="separate"/>
        </w:r>
        <w:r w:rsidR="00167F2A">
          <w:rPr>
            <w:bCs/>
            <w:noProof/>
            <w:sz w:val="20"/>
            <w:szCs w:val="20"/>
          </w:rPr>
          <w:t>4</w:t>
        </w:r>
        <w:r w:rsidRPr="00C729BD">
          <w:rPr>
            <w:bCs/>
            <w:sz w:val="20"/>
            <w:szCs w:val="20"/>
          </w:rPr>
          <w:fldChar w:fldCharType="end"/>
        </w:r>
        <w:r w:rsidRPr="00C729BD">
          <w:rPr>
            <w:sz w:val="20"/>
            <w:szCs w:val="20"/>
          </w:rPr>
          <w:t xml:space="preserve"> of </w:t>
        </w:r>
        <w:r w:rsidRPr="00C729BD">
          <w:rPr>
            <w:bCs/>
            <w:sz w:val="20"/>
            <w:szCs w:val="20"/>
          </w:rPr>
          <w:fldChar w:fldCharType="begin"/>
        </w:r>
        <w:r w:rsidRPr="00C729BD">
          <w:rPr>
            <w:bCs/>
            <w:sz w:val="20"/>
            <w:szCs w:val="20"/>
          </w:rPr>
          <w:instrText xml:space="preserve"> NUMPAGES  </w:instrText>
        </w:r>
        <w:r w:rsidRPr="00C729BD">
          <w:rPr>
            <w:bCs/>
            <w:sz w:val="20"/>
            <w:szCs w:val="20"/>
          </w:rPr>
          <w:fldChar w:fldCharType="separate"/>
        </w:r>
        <w:r w:rsidR="00167F2A">
          <w:rPr>
            <w:bCs/>
            <w:noProof/>
            <w:sz w:val="20"/>
            <w:szCs w:val="20"/>
          </w:rPr>
          <w:t>4</w:t>
        </w:r>
        <w:r w:rsidRPr="00C729BD">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20980"/>
      <w:docPartObj>
        <w:docPartGallery w:val="Page Numbers (Bottom of Page)"/>
        <w:docPartUnique/>
      </w:docPartObj>
    </w:sdtPr>
    <w:sdtEndPr/>
    <w:sdtContent>
      <w:sdt>
        <w:sdtPr>
          <w:id w:val="-1705238520"/>
          <w:docPartObj>
            <w:docPartGallery w:val="Page Numbers (Top of Page)"/>
            <w:docPartUnique/>
          </w:docPartObj>
        </w:sdtPr>
        <w:sdtEndPr/>
        <w:sdtContent>
          <w:p w14:paraId="2F5F3734" w14:textId="5FEE1B21" w:rsidR="000F7902" w:rsidRDefault="000F7902" w:rsidP="00940EF4">
            <w:pPr>
              <w:pStyle w:val="Footer"/>
              <w:tabs>
                <w:tab w:val="clear" w:pos="4680"/>
                <w:tab w:val="left" w:pos="0"/>
              </w:tabs>
            </w:pPr>
            <w:r>
              <w:tab/>
            </w:r>
            <w:r w:rsidRPr="00C729BD">
              <w:rPr>
                <w:sz w:val="20"/>
                <w:szCs w:val="20"/>
              </w:rPr>
              <w:t xml:space="preserve">Page </w:t>
            </w:r>
            <w:r w:rsidRPr="00C729BD">
              <w:rPr>
                <w:bCs/>
                <w:sz w:val="20"/>
                <w:szCs w:val="20"/>
              </w:rPr>
              <w:fldChar w:fldCharType="begin"/>
            </w:r>
            <w:r w:rsidRPr="00C729BD">
              <w:rPr>
                <w:bCs/>
                <w:sz w:val="20"/>
                <w:szCs w:val="20"/>
              </w:rPr>
              <w:instrText xml:space="preserve"> PAGE </w:instrText>
            </w:r>
            <w:r w:rsidRPr="00C729BD">
              <w:rPr>
                <w:bCs/>
                <w:sz w:val="20"/>
                <w:szCs w:val="20"/>
              </w:rPr>
              <w:fldChar w:fldCharType="separate"/>
            </w:r>
            <w:r w:rsidR="002410FB">
              <w:rPr>
                <w:bCs/>
                <w:noProof/>
                <w:sz w:val="20"/>
                <w:szCs w:val="20"/>
              </w:rPr>
              <w:t>1</w:t>
            </w:r>
            <w:r w:rsidRPr="00C729BD">
              <w:rPr>
                <w:bCs/>
                <w:sz w:val="20"/>
                <w:szCs w:val="20"/>
              </w:rPr>
              <w:fldChar w:fldCharType="end"/>
            </w:r>
            <w:r w:rsidRPr="00C729BD">
              <w:rPr>
                <w:sz w:val="20"/>
                <w:szCs w:val="20"/>
              </w:rPr>
              <w:t xml:space="preserve"> of </w:t>
            </w:r>
            <w:r w:rsidRPr="00C729BD">
              <w:rPr>
                <w:bCs/>
                <w:sz w:val="20"/>
                <w:szCs w:val="20"/>
              </w:rPr>
              <w:fldChar w:fldCharType="begin"/>
            </w:r>
            <w:r w:rsidRPr="00C729BD">
              <w:rPr>
                <w:bCs/>
                <w:sz w:val="20"/>
                <w:szCs w:val="20"/>
              </w:rPr>
              <w:instrText xml:space="preserve"> NUMPAGES  </w:instrText>
            </w:r>
            <w:r w:rsidRPr="00C729BD">
              <w:rPr>
                <w:bCs/>
                <w:sz w:val="20"/>
                <w:szCs w:val="20"/>
              </w:rPr>
              <w:fldChar w:fldCharType="separate"/>
            </w:r>
            <w:r w:rsidR="002410FB">
              <w:rPr>
                <w:bCs/>
                <w:noProof/>
                <w:sz w:val="20"/>
                <w:szCs w:val="20"/>
              </w:rPr>
              <w:t>4</w:t>
            </w:r>
            <w:r w:rsidRPr="00C729BD">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58D9" w14:textId="77777777" w:rsidR="000F7902" w:rsidRDefault="000F7902" w:rsidP="00C37C83">
      <w:pPr>
        <w:spacing w:after="0" w:line="240" w:lineRule="auto"/>
      </w:pPr>
      <w:r>
        <w:separator/>
      </w:r>
    </w:p>
  </w:footnote>
  <w:footnote w:type="continuationSeparator" w:id="0">
    <w:p w14:paraId="76B3FB4A" w14:textId="77777777" w:rsidR="000F7902" w:rsidRDefault="000F7902" w:rsidP="00C3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AE2C" w14:textId="77777777" w:rsidR="00E2790C" w:rsidRDefault="000F7902" w:rsidP="00C729BD">
    <w:pPr>
      <w:pStyle w:val="Header"/>
    </w:pPr>
    <w:r>
      <w:t>Project Review Memo</w:t>
    </w:r>
  </w:p>
  <w:p w14:paraId="1A265EDE" w14:textId="326C56FD" w:rsidR="000F7902" w:rsidRDefault="00BD5464" w:rsidP="00C729BD">
    <w:pPr>
      <w:pStyle w:val="Header"/>
    </w:pPr>
    <w:r>
      <w:t>The Residences on Holley</w:t>
    </w:r>
  </w:p>
  <w:p w14:paraId="4D123D4B" w14:textId="3AA1E8EA" w:rsidR="000F7902" w:rsidRPr="00D52161" w:rsidRDefault="002C3453" w:rsidP="00E2790C">
    <w:pPr>
      <w:pStyle w:val="Header"/>
      <w:tabs>
        <w:tab w:val="clear" w:pos="4680"/>
        <w:tab w:val="left" w:pos="3150"/>
      </w:tabs>
      <w:spacing w:after="120"/>
    </w:pPr>
    <w:r>
      <w:t>July 28,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C053" w14:textId="77777777" w:rsidR="000F7902" w:rsidRDefault="000F7902" w:rsidP="00C37C83">
    <w:pPr>
      <w:pStyle w:val="Header"/>
      <w:spacing w:before="120"/>
      <w:jc w:val="center"/>
      <w:rPr>
        <w:b/>
        <w:sz w:val="28"/>
        <w:szCs w:val="28"/>
      </w:rPr>
    </w:pPr>
    <w:r>
      <w:rPr>
        <w:noProof/>
        <w:sz w:val="24"/>
      </w:rPr>
      <w:drawing>
        <wp:inline distT="0" distB="0" distL="0" distR="0" wp14:anchorId="2FF353B4" wp14:editId="24DEE5C7">
          <wp:extent cx="876300" cy="877049"/>
          <wp:effectExtent l="19050" t="0" r="0" b="0"/>
          <wp:docPr id="5" name="Picture 5" descr="SEAL_vector_Lgt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_vector_LgtBlue.png"/>
                  <pic:cNvPicPr/>
                </pic:nvPicPr>
                <pic:blipFill>
                  <a:blip r:embed="rId1" cstate="print"/>
                  <a:stretch>
                    <a:fillRect/>
                  </a:stretch>
                </pic:blipFill>
                <pic:spPr>
                  <a:xfrm>
                    <a:off x="0" y="0"/>
                    <a:ext cx="876300" cy="877049"/>
                  </a:xfrm>
                  <a:prstGeom prst="rect">
                    <a:avLst/>
                  </a:prstGeom>
                </pic:spPr>
              </pic:pic>
            </a:graphicData>
          </a:graphic>
        </wp:inline>
      </w:drawing>
    </w:r>
    <w:r w:rsidRPr="00C37C83">
      <w:rPr>
        <w:b/>
        <w:sz w:val="28"/>
        <w:szCs w:val="28"/>
      </w:rPr>
      <w:t xml:space="preserve"> </w:t>
    </w:r>
  </w:p>
  <w:p w14:paraId="452E11B6" w14:textId="77777777" w:rsidR="000F7902" w:rsidRDefault="000F7902" w:rsidP="00C37C83">
    <w:pPr>
      <w:pStyle w:val="Header"/>
      <w:spacing w:before="120"/>
      <w:jc w:val="center"/>
      <w:rPr>
        <w:b/>
        <w:sz w:val="28"/>
        <w:szCs w:val="28"/>
      </w:rPr>
    </w:pPr>
    <w:r>
      <w:rPr>
        <w:b/>
        <w:sz w:val="28"/>
        <w:szCs w:val="28"/>
      </w:rPr>
      <w:t>SOUTH KINGSTOWN PLANNING DEPARTMENT</w:t>
    </w:r>
  </w:p>
  <w:p w14:paraId="136A39C7" w14:textId="77777777" w:rsidR="000F7902" w:rsidRDefault="000F7902" w:rsidP="00C729BD">
    <w:pPr>
      <w:pStyle w:val="Header"/>
      <w:jc w:val="center"/>
      <w:rPr>
        <w:b/>
        <w:sz w:val="28"/>
        <w:szCs w:val="28"/>
      </w:rPr>
    </w:pPr>
    <w:r w:rsidRPr="00C37C83">
      <w:rPr>
        <w:b/>
        <w:sz w:val="28"/>
        <w:szCs w:val="28"/>
      </w:rPr>
      <w:t>PROJECT REVIEW MEMO</w:t>
    </w:r>
  </w:p>
  <w:p w14:paraId="6D3745C8" w14:textId="228C710F" w:rsidR="000F7902" w:rsidRPr="00C729BD" w:rsidRDefault="00ED011E" w:rsidP="006F767C">
    <w:pPr>
      <w:pStyle w:val="Header"/>
      <w:jc w:val="center"/>
      <w:rPr>
        <w:b/>
        <w:sz w:val="36"/>
        <w:szCs w:val="36"/>
        <w:u w:val="single"/>
      </w:rPr>
    </w:pPr>
    <w:r>
      <w:rPr>
        <w:b/>
        <w:sz w:val="36"/>
        <w:szCs w:val="36"/>
        <w:u w:val="single"/>
      </w:rPr>
      <w:t>The Residences on Holley</w:t>
    </w:r>
  </w:p>
  <w:p w14:paraId="7C7CF639" w14:textId="37140927" w:rsidR="000F7902" w:rsidRDefault="00ED011E" w:rsidP="00E2790C">
    <w:pPr>
      <w:pStyle w:val="Header"/>
      <w:jc w:val="center"/>
      <w:rPr>
        <w:b/>
        <w:sz w:val="28"/>
        <w:szCs w:val="28"/>
      </w:rPr>
    </w:pPr>
    <w:r>
      <w:rPr>
        <w:b/>
        <w:sz w:val="28"/>
        <w:szCs w:val="28"/>
      </w:rPr>
      <w:t>Major Land Development</w:t>
    </w:r>
    <w:r w:rsidR="000F7902">
      <w:rPr>
        <w:b/>
        <w:sz w:val="28"/>
        <w:szCs w:val="28"/>
      </w:rPr>
      <w:t xml:space="preserve"> – Pre</w:t>
    </w:r>
    <w:r>
      <w:rPr>
        <w:b/>
        <w:sz w:val="28"/>
        <w:szCs w:val="28"/>
      </w:rPr>
      <w:t>-Application Concept</w:t>
    </w:r>
    <w:r w:rsidR="000F7902">
      <w:rPr>
        <w:b/>
        <w:sz w:val="28"/>
        <w:szCs w:val="28"/>
      </w:rPr>
      <w:t xml:space="preserve"> Review</w:t>
    </w:r>
  </w:p>
  <w:p w14:paraId="1DA8B18B" w14:textId="45D84642" w:rsidR="000F7902" w:rsidRPr="00FE1C25" w:rsidRDefault="00ED011E" w:rsidP="00E2790C">
    <w:pPr>
      <w:pStyle w:val="Header"/>
      <w:spacing w:after="120"/>
      <w:jc w:val="center"/>
      <w:rPr>
        <w:sz w:val="24"/>
        <w:szCs w:val="24"/>
      </w:rPr>
    </w:pPr>
    <w:r>
      <w:rPr>
        <w:sz w:val="24"/>
        <w:szCs w:val="24"/>
      </w:rPr>
      <w:t>July 28</w:t>
    </w:r>
    <w:r w:rsidR="005A72B7">
      <w:rPr>
        <w:sz w:val="24"/>
        <w:szCs w:val="24"/>
      </w:rPr>
      <w: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21"/>
    <w:multiLevelType w:val="hybridMultilevel"/>
    <w:tmpl w:val="51582D4A"/>
    <w:lvl w:ilvl="0" w:tplc="F276233E">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66FEF"/>
    <w:multiLevelType w:val="hybridMultilevel"/>
    <w:tmpl w:val="BAC83230"/>
    <w:lvl w:ilvl="0" w:tplc="6DC80C7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1548"/>
    <w:multiLevelType w:val="hybridMultilevel"/>
    <w:tmpl w:val="815E7B5A"/>
    <w:lvl w:ilvl="0" w:tplc="E044134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C41DC"/>
    <w:multiLevelType w:val="hybridMultilevel"/>
    <w:tmpl w:val="03C8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F047C"/>
    <w:multiLevelType w:val="hybridMultilevel"/>
    <w:tmpl w:val="D5DAA4F4"/>
    <w:lvl w:ilvl="0" w:tplc="3AD425D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27422"/>
    <w:multiLevelType w:val="hybridMultilevel"/>
    <w:tmpl w:val="0FF239B8"/>
    <w:lvl w:ilvl="0" w:tplc="9D1E1196">
      <w:start w:val="4"/>
      <w:numFmt w:val="decimal"/>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ABD"/>
    <w:multiLevelType w:val="hybridMultilevel"/>
    <w:tmpl w:val="0F8497F6"/>
    <w:lvl w:ilvl="0" w:tplc="46F8E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42CEA"/>
    <w:multiLevelType w:val="hybridMultilevel"/>
    <w:tmpl w:val="8CC252A0"/>
    <w:lvl w:ilvl="0" w:tplc="04090015">
      <w:start w:val="1"/>
      <w:numFmt w:val="upperLetter"/>
      <w:lvlText w:val="%1."/>
      <w:lvlJc w:val="left"/>
      <w:pPr>
        <w:ind w:left="1440" w:hanging="360"/>
      </w:pPr>
    </w:lvl>
    <w:lvl w:ilvl="1" w:tplc="332EB9FE">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DA2251"/>
    <w:multiLevelType w:val="hybridMultilevel"/>
    <w:tmpl w:val="50BCC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F2C6C"/>
    <w:multiLevelType w:val="hybridMultilevel"/>
    <w:tmpl w:val="AA0039BE"/>
    <w:lvl w:ilvl="0" w:tplc="FE42E7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33509"/>
    <w:multiLevelType w:val="hybridMultilevel"/>
    <w:tmpl w:val="B4165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D676E"/>
    <w:multiLevelType w:val="hybridMultilevel"/>
    <w:tmpl w:val="51C69BFC"/>
    <w:lvl w:ilvl="0" w:tplc="6A885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8A59B5"/>
    <w:multiLevelType w:val="hybridMultilevel"/>
    <w:tmpl w:val="74EC0538"/>
    <w:lvl w:ilvl="0" w:tplc="88D4BB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D1CBC"/>
    <w:multiLevelType w:val="hybridMultilevel"/>
    <w:tmpl w:val="413E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51190"/>
    <w:multiLevelType w:val="hybridMultilevel"/>
    <w:tmpl w:val="7C66E000"/>
    <w:lvl w:ilvl="0" w:tplc="B4A247D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7CC097E"/>
    <w:multiLevelType w:val="hybridMultilevel"/>
    <w:tmpl w:val="1E983312"/>
    <w:lvl w:ilvl="0" w:tplc="C7B26AE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05C8D"/>
    <w:multiLevelType w:val="hybridMultilevel"/>
    <w:tmpl w:val="A8126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74655A"/>
    <w:multiLevelType w:val="hybridMultilevel"/>
    <w:tmpl w:val="366A138E"/>
    <w:lvl w:ilvl="0" w:tplc="6A885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1591C"/>
    <w:multiLevelType w:val="hybridMultilevel"/>
    <w:tmpl w:val="ADC01F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31985"/>
    <w:multiLevelType w:val="hybridMultilevel"/>
    <w:tmpl w:val="4F68ADB8"/>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33E178BE"/>
    <w:multiLevelType w:val="hybridMultilevel"/>
    <w:tmpl w:val="EB1AF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F1CE6"/>
    <w:multiLevelType w:val="hybridMultilevel"/>
    <w:tmpl w:val="9EB65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3F402B"/>
    <w:multiLevelType w:val="hybridMultilevel"/>
    <w:tmpl w:val="0C129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82939"/>
    <w:multiLevelType w:val="hybridMultilevel"/>
    <w:tmpl w:val="331AD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8C7E4E"/>
    <w:multiLevelType w:val="hybridMultilevel"/>
    <w:tmpl w:val="FC44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E7DC4"/>
    <w:multiLevelType w:val="hybridMultilevel"/>
    <w:tmpl w:val="41DE77E8"/>
    <w:lvl w:ilvl="0" w:tplc="2162FC9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50A54"/>
    <w:multiLevelType w:val="hybridMultilevel"/>
    <w:tmpl w:val="C40A6934"/>
    <w:lvl w:ilvl="0" w:tplc="6A885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35893"/>
    <w:multiLevelType w:val="hybridMultilevel"/>
    <w:tmpl w:val="528295A6"/>
    <w:lvl w:ilvl="0" w:tplc="04090015">
      <w:start w:val="1"/>
      <w:numFmt w:val="upperLetter"/>
      <w:lvlText w:val="%1."/>
      <w:lvlJc w:val="left"/>
      <w:pPr>
        <w:ind w:left="1440" w:hanging="360"/>
      </w:pPr>
    </w:lvl>
    <w:lvl w:ilvl="1" w:tplc="88D4BB90">
      <w:start w:val="1"/>
      <w:numFmt w:val="decimal"/>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A66490"/>
    <w:multiLevelType w:val="hybridMultilevel"/>
    <w:tmpl w:val="C48230D2"/>
    <w:lvl w:ilvl="0" w:tplc="97984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6220B"/>
    <w:multiLevelType w:val="hybridMultilevel"/>
    <w:tmpl w:val="373A2D04"/>
    <w:lvl w:ilvl="0" w:tplc="BD6C8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054643"/>
    <w:multiLevelType w:val="hybridMultilevel"/>
    <w:tmpl w:val="5D60BD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FD6E64"/>
    <w:multiLevelType w:val="hybridMultilevel"/>
    <w:tmpl w:val="EF2044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CF2127"/>
    <w:multiLevelType w:val="hybridMultilevel"/>
    <w:tmpl w:val="E7EE5224"/>
    <w:lvl w:ilvl="0" w:tplc="19006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2E6556"/>
    <w:multiLevelType w:val="hybridMultilevel"/>
    <w:tmpl w:val="3AC8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20FFA"/>
    <w:multiLevelType w:val="hybridMultilevel"/>
    <w:tmpl w:val="5DF048AC"/>
    <w:lvl w:ilvl="0" w:tplc="6A885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693565"/>
    <w:multiLevelType w:val="hybridMultilevel"/>
    <w:tmpl w:val="7AD0F9B8"/>
    <w:lvl w:ilvl="0" w:tplc="604EF8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4449D"/>
    <w:multiLevelType w:val="hybridMultilevel"/>
    <w:tmpl w:val="C79C526A"/>
    <w:lvl w:ilvl="0" w:tplc="1E004C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256EC"/>
    <w:multiLevelType w:val="hybridMultilevel"/>
    <w:tmpl w:val="60587552"/>
    <w:lvl w:ilvl="0" w:tplc="CA40A7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D2CBA"/>
    <w:multiLevelType w:val="hybridMultilevel"/>
    <w:tmpl w:val="8D904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16BB9"/>
    <w:multiLevelType w:val="hybridMultilevel"/>
    <w:tmpl w:val="5FDA89FC"/>
    <w:lvl w:ilvl="0" w:tplc="FDEE620E">
      <w:start w:val="1"/>
      <w:numFmt w:val="decimal"/>
      <w:lvlText w:val="%1."/>
      <w:lvlJc w:val="left"/>
      <w:pPr>
        <w:ind w:left="25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AA7E49"/>
    <w:multiLevelType w:val="hybridMultilevel"/>
    <w:tmpl w:val="31444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A4A90"/>
    <w:multiLevelType w:val="hybridMultilevel"/>
    <w:tmpl w:val="A8462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1"/>
  </w:num>
  <w:num w:numId="3">
    <w:abstractNumId w:val="31"/>
  </w:num>
  <w:num w:numId="4">
    <w:abstractNumId w:val="41"/>
  </w:num>
  <w:num w:numId="5">
    <w:abstractNumId w:val="7"/>
  </w:num>
  <w:num w:numId="6">
    <w:abstractNumId w:val="39"/>
  </w:num>
  <w:num w:numId="7">
    <w:abstractNumId w:val="22"/>
  </w:num>
  <w:num w:numId="8">
    <w:abstractNumId w:val="27"/>
  </w:num>
  <w:num w:numId="9">
    <w:abstractNumId w:val="34"/>
  </w:num>
  <w:num w:numId="10">
    <w:abstractNumId w:val="17"/>
  </w:num>
  <w:num w:numId="11">
    <w:abstractNumId w:val="11"/>
  </w:num>
  <w:num w:numId="12">
    <w:abstractNumId w:val="26"/>
  </w:num>
  <w:num w:numId="13">
    <w:abstractNumId w:val="30"/>
  </w:num>
  <w:num w:numId="14">
    <w:abstractNumId w:val="23"/>
  </w:num>
  <w:num w:numId="15">
    <w:abstractNumId w:val="9"/>
  </w:num>
  <w:num w:numId="16">
    <w:abstractNumId w:val="18"/>
  </w:num>
  <w:num w:numId="17">
    <w:abstractNumId w:val="38"/>
  </w:num>
  <w:num w:numId="18">
    <w:abstractNumId w:val="24"/>
  </w:num>
  <w:num w:numId="19">
    <w:abstractNumId w:val="3"/>
  </w:num>
  <w:num w:numId="20">
    <w:abstractNumId w:val="12"/>
  </w:num>
  <w:num w:numId="21">
    <w:abstractNumId w:val="15"/>
  </w:num>
  <w:num w:numId="22">
    <w:abstractNumId w:val="37"/>
  </w:num>
  <w:num w:numId="23">
    <w:abstractNumId w:val="1"/>
  </w:num>
  <w:num w:numId="24">
    <w:abstractNumId w:val="4"/>
  </w:num>
  <w:num w:numId="25">
    <w:abstractNumId w:val="2"/>
  </w:num>
  <w:num w:numId="26">
    <w:abstractNumId w:val="0"/>
  </w:num>
  <w:num w:numId="27">
    <w:abstractNumId w:val="29"/>
  </w:num>
  <w:num w:numId="28">
    <w:abstractNumId w:val="32"/>
  </w:num>
  <w:num w:numId="29">
    <w:abstractNumId w:val="6"/>
  </w:num>
  <w:num w:numId="30">
    <w:abstractNumId w:val="35"/>
  </w:num>
  <w:num w:numId="31">
    <w:abstractNumId w:val="13"/>
  </w:num>
  <w:num w:numId="32">
    <w:abstractNumId w:val="40"/>
  </w:num>
  <w:num w:numId="33">
    <w:abstractNumId w:val="10"/>
  </w:num>
  <w:num w:numId="34">
    <w:abstractNumId w:val="8"/>
  </w:num>
  <w:num w:numId="35">
    <w:abstractNumId w:val="1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4"/>
  </w:num>
  <w:num w:numId="39">
    <w:abstractNumId w:val="25"/>
  </w:num>
  <w:num w:numId="40">
    <w:abstractNumId w:val="28"/>
  </w:num>
  <w:num w:numId="41">
    <w:abstractNumId w:val="20"/>
  </w:num>
  <w:num w:numId="42">
    <w:abstractNumId w:val="3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4C"/>
    <w:rsid w:val="00011546"/>
    <w:rsid w:val="00031201"/>
    <w:rsid w:val="0005730D"/>
    <w:rsid w:val="0006785E"/>
    <w:rsid w:val="00090B9E"/>
    <w:rsid w:val="0009527C"/>
    <w:rsid w:val="000B5731"/>
    <w:rsid w:val="000D5A65"/>
    <w:rsid w:val="000E250A"/>
    <w:rsid w:val="000E4AB2"/>
    <w:rsid w:val="000F1A98"/>
    <w:rsid w:val="000F2A63"/>
    <w:rsid w:val="000F7902"/>
    <w:rsid w:val="00112545"/>
    <w:rsid w:val="001426B6"/>
    <w:rsid w:val="0015159C"/>
    <w:rsid w:val="00161184"/>
    <w:rsid w:val="00167F2A"/>
    <w:rsid w:val="00170397"/>
    <w:rsid w:val="0017358F"/>
    <w:rsid w:val="001A615B"/>
    <w:rsid w:val="001B78A6"/>
    <w:rsid w:val="001D7927"/>
    <w:rsid w:val="001F6EA9"/>
    <w:rsid w:val="00201853"/>
    <w:rsid w:val="00223535"/>
    <w:rsid w:val="002410FB"/>
    <w:rsid w:val="00256F8C"/>
    <w:rsid w:val="002864B4"/>
    <w:rsid w:val="00296146"/>
    <w:rsid w:val="002A5BE6"/>
    <w:rsid w:val="002B2096"/>
    <w:rsid w:val="002C1198"/>
    <w:rsid w:val="002C3453"/>
    <w:rsid w:val="0030534D"/>
    <w:rsid w:val="00307FC3"/>
    <w:rsid w:val="003101C2"/>
    <w:rsid w:val="0031266C"/>
    <w:rsid w:val="0034110F"/>
    <w:rsid w:val="0034388C"/>
    <w:rsid w:val="00375EE2"/>
    <w:rsid w:val="00385E4E"/>
    <w:rsid w:val="003B2DC2"/>
    <w:rsid w:val="003B4D46"/>
    <w:rsid w:val="003C4D35"/>
    <w:rsid w:val="003F6616"/>
    <w:rsid w:val="00416C21"/>
    <w:rsid w:val="004433D9"/>
    <w:rsid w:val="004745FE"/>
    <w:rsid w:val="0049366F"/>
    <w:rsid w:val="004C5592"/>
    <w:rsid w:val="004C7EC1"/>
    <w:rsid w:val="004E07A1"/>
    <w:rsid w:val="004E23DA"/>
    <w:rsid w:val="004F2D59"/>
    <w:rsid w:val="00507F73"/>
    <w:rsid w:val="00515F5F"/>
    <w:rsid w:val="0051681E"/>
    <w:rsid w:val="00524439"/>
    <w:rsid w:val="00546D68"/>
    <w:rsid w:val="00565163"/>
    <w:rsid w:val="00566986"/>
    <w:rsid w:val="00581772"/>
    <w:rsid w:val="005A72B7"/>
    <w:rsid w:val="006019F5"/>
    <w:rsid w:val="0063152E"/>
    <w:rsid w:val="006356AB"/>
    <w:rsid w:val="00641322"/>
    <w:rsid w:val="006435D7"/>
    <w:rsid w:val="0064682A"/>
    <w:rsid w:val="00661359"/>
    <w:rsid w:val="00666F5C"/>
    <w:rsid w:val="00681BF3"/>
    <w:rsid w:val="0069254C"/>
    <w:rsid w:val="006A15A4"/>
    <w:rsid w:val="006A49BD"/>
    <w:rsid w:val="006C34AC"/>
    <w:rsid w:val="006F767C"/>
    <w:rsid w:val="007466C8"/>
    <w:rsid w:val="00750DFE"/>
    <w:rsid w:val="00790B81"/>
    <w:rsid w:val="008004BD"/>
    <w:rsid w:val="00817AAA"/>
    <w:rsid w:val="0083188C"/>
    <w:rsid w:val="00870902"/>
    <w:rsid w:val="00891E48"/>
    <w:rsid w:val="00892C2F"/>
    <w:rsid w:val="008A45BF"/>
    <w:rsid w:val="008B0655"/>
    <w:rsid w:val="008C1F89"/>
    <w:rsid w:val="008D31F2"/>
    <w:rsid w:val="008D4ED6"/>
    <w:rsid w:val="009152D4"/>
    <w:rsid w:val="0093380E"/>
    <w:rsid w:val="009402E9"/>
    <w:rsid w:val="00940EF4"/>
    <w:rsid w:val="00941C39"/>
    <w:rsid w:val="00960588"/>
    <w:rsid w:val="00966D58"/>
    <w:rsid w:val="00981FB2"/>
    <w:rsid w:val="009A08C6"/>
    <w:rsid w:val="009E26DB"/>
    <w:rsid w:val="00A067DF"/>
    <w:rsid w:val="00A26FDD"/>
    <w:rsid w:val="00A473B5"/>
    <w:rsid w:val="00A5183E"/>
    <w:rsid w:val="00A54A88"/>
    <w:rsid w:val="00A64993"/>
    <w:rsid w:val="00A748F1"/>
    <w:rsid w:val="00AE5749"/>
    <w:rsid w:val="00B06C6D"/>
    <w:rsid w:val="00B07FC7"/>
    <w:rsid w:val="00B10C9A"/>
    <w:rsid w:val="00B1149D"/>
    <w:rsid w:val="00B26861"/>
    <w:rsid w:val="00B41229"/>
    <w:rsid w:val="00B43A9E"/>
    <w:rsid w:val="00B50503"/>
    <w:rsid w:val="00B74EC5"/>
    <w:rsid w:val="00BA27FC"/>
    <w:rsid w:val="00BC4A35"/>
    <w:rsid w:val="00BD5464"/>
    <w:rsid w:val="00BE452D"/>
    <w:rsid w:val="00C312D7"/>
    <w:rsid w:val="00C338D2"/>
    <w:rsid w:val="00C37C83"/>
    <w:rsid w:val="00C469AF"/>
    <w:rsid w:val="00C67891"/>
    <w:rsid w:val="00C729BD"/>
    <w:rsid w:val="00C9720B"/>
    <w:rsid w:val="00CA46B6"/>
    <w:rsid w:val="00CD0E96"/>
    <w:rsid w:val="00CD2D66"/>
    <w:rsid w:val="00CF0621"/>
    <w:rsid w:val="00CF5A5E"/>
    <w:rsid w:val="00D204F3"/>
    <w:rsid w:val="00D27A3E"/>
    <w:rsid w:val="00D30852"/>
    <w:rsid w:val="00D3774B"/>
    <w:rsid w:val="00D52161"/>
    <w:rsid w:val="00D52B0E"/>
    <w:rsid w:val="00D5695C"/>
    <w:rsid w:val="00D91089"/>
    <w:rsid w:val="00DA116F"/>
    <w:rsid w:val="00DA4211"/>
    <w:rsid w:val="00DD3D21"/>
    <w:rsid w:val="00DD4ED1"/>
    <w:rsid w:val="00DF39B0"/>
    <w:rsid w:val="00E1501E"/>
    <w:rsid w:val="00E20019"/>
    <w:rsid w:val="00E2790C"/>
    <w:rsid w:val="00E32889"/>
    <w:rsid w:val="00E45147"/>
    <w:rsid w:val="00EC4886"/>
    <w:rsid w:val="00ED011E"/>
    <w:rsid w:val="00F14E2F"/>
    <w:rsid w:val="00F15599"/>
    <w:rsid w:val="00F40250"/>
    <w:rsid w:val="00F42BC6"/>
    <w:rsid w:val="00F43A7E"/>
    <w:rsid w:val="00F533DE"/>
    <w:rsid w:val="00F7097D"/>
    <w:rsid w:val="00F71D09"/>
    <w:rsid w:val="00F9114C"/>
    <w:rsid w:val="00FA73C9"/>
    <w:rsid w:val="00FE1C25"/>
    <w:rsid w:val="00FE2255"/>
    <w:rsid w:val="00FE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F57DB2"/>
  <w15:docId w15:val="{45B432CB-E554-43AB-9A39-90831A8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EC5"/>
    <w:rPr>
      <w:rFonts w:ascii="Tahoma" w:hAnsi="Tahoma" w:cs="Tahoma"/>
      <w:sz w:val="16"/>
      <w:szCs w:val="16"/>
    </w:rPr>
  </w:style>
  <w:style w:type="paragraph" w:styleId="Header">
    <w:name w:val="header"/>
    <w:basedOn w:val="Normal"/>
    <w:link w:val="HeaderChar"/>
    <w:uiPriority w:val="99"/>
    <w:unhideWhenUsed/>
    <w:rsid w:val="00C37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83"/>
  </w:style>
  <w:style w:type="paragraph" w:styleId="Footer">
    <w:name w:val="footer"/>
    <w:basedOn w:val="Normal"/>
    <w:link w:val="FooterChar"/>
    <w:uiPriority w:val="99"/>
    <w:unhideWhenUsed/>
    <w:rsid w:val="00C37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83"/>
  </w:style>
  <w:style w:type="table" w:styleId="TableGrid">
    <w:name w:val="Table Grid"/>
    <w:basedOn w:val="TableNormal"/>
    <w:uiPriority w:val="39"/>
    <w:rsid w:val="00C37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37C83"/>
    <w:pPr>
      <w:spacing w:before="240" w:after="240" w:line="240" w:lineRule="auto"/>
      <w:ind w:left="360"/>
      <w:jc w:val="both"/>
    </w:pPr>
    <w:rPr>
      <w:rFonts w:ascii="Calibri" w:eastAsia="Times New Roman" w:hAnsi="Calibri" w:cs="Times New Roman"/>
      <w:b/>
      <w:bCs/>
      <w:szCs w:val="24"/>
    </w:rPr>
  </w:style>
  <w:style w:type="character" w:customStyle="1" w:styleId="BodyTextChar">
    <w:name w:val="Body Text Char"/>
    <w:basedOn w:val="DefaultParagraphFont"/>
    <w:link w:val="BodyText"/>
    <w:rsid w:val="00C37C83"/>
    <w:rPr>
      <w:rFonts w:ascii="Calibri" w:eastAsia="Times New Roman" w:hAnsi="Calibri" w:cs="Times New Roman"/>
      <w:b/>
      <w:bCs/>
      <w:szCs w:val="24"/>
    </w:rPr>
  </w:style>
  <w:style w:type="paragraph" w:styleId="ListParagraph">
    <w:name w:val="List Paragraph"/>
    <w:basedOn w:val="Normal"/>
    <w:uiPriority w:val="34"/>
    <w:qFormat/>
    <w:rsid w:val="00C37C83"/>
    <w:pPr>
      <w:spacing w:before="240" w:after="240" w:line="240" w:lineRule="auto"/>
      <w:ind w:left="720"/>
      <w:contextualSpacing/>
      <w:jc w:val="both"/>
    </w:pPr>
    <w:rPr>
      <w:rFonts w:ascii="Calibri" w:eastAsia="Times New Roman" w:hAnsi="Calibri" w:cs="Times New Roman"/>
    </w:rPr>
  </w:style>
  <w:style w:type="paragraph" w:customStyle="1" w:styleId="Layer3">
    <w:name w:val="Layer 3"/>
    <w:basedOn w:val="BodyTextIndent2"/>
    <w:link w:val="Layer3Char"/>
    <w:qFormat/>
    <w:rsid w:val="00C37C83"/>
    <w:pPr>
      <w:spacing w:before="360" w:after="240" w:line="240" w:lineRule="auto"/>
      <w:jc w:val="both"/>
    </w:pPr>
    <w:rPr>
      <w:rFonts w:eastAsia="Times New Roman" w:cs="Times New Roman"/>
      <w:b/>
    </w:rPr>
  </w:style>
  <w:style w:type="character" w:customStyle="1" w:styleId="Layer3Char">
    <w:name w:val="Layer 3 Char"/>
    <w:basedOn w:val="BodyTextIndent2Char"/>
    <w:link w:val="Layer3"/>
    <w:rsid w:val="00C37C83"/>
    <w:rPr>
      <w:rFonts w:eastAsia="Times New Roman" w:cs="Times New Roman"/>
      <w:b/>
    </w:rPr>
  </w:style>
  <w:style w:type="paragraph" w:customStyle="1" w:styleId="Overview">
    <w:name w:val="Overview"/>
    <w:basedOn w:val="Normal"/>
    <w:link w:val="OverviewChar"/>
    <w:qFormat/>
    <w:rsid w:val="00C37C83"/>
    <w:pPr>
      <w:spacing w:before="120" w:after="240" w:line="240" w:lineRule="auto"/>
      <w:ind w:left="2880" w:hanging="2520"/>
      <w:jc w:val="both"/>
    </w:pPr>
    <w:rPr>
      <w:rFonts w:eastAsia="Times New Roman" w:cs="Times New Roman"/>
    </w:rPr>
  </w:style>
  <w:style w:type="character" w:customStyle="1" w:styleId="OverviewChar">
    <w:name w:val="Overview Char"/>
    <w:basedOn w:val="DefaultParagraphFont"/>
    <w:link w:val="Overview"/>
    <w:rsid w:val="00C37C83"/>
    <w:rPr>
      <w:rFonts w:eastAsia="Times New Roman" w:cs="Times New Roman"/>
    </w:rPr>
  </w:style>
  <w:style w:type="paragraph" w:styleId="BodyTextIndent2">
    <w:name w:val="Body Text Indent 2"/>
    <w:basedOn w:val="Normal"/>
    <w:link w:val="BodyTextIndent2Char"/>
    <w:uiPriority w:val="99"/>
    <w:semiHidden/>
    <w:unhideWhenUsed/>
    <w:rsid w:val="00C37C83"/>
    <w:pPr>
      <w:spacing w:after="120" w:line="480" w:lineRule="auto"/>
      <w:ind w:left="360"/>
    </w:pPr>
  </w:style>
  <w:style w:type="character" w:customStyle="1" w:styleId="BodyTextIndent2Char">
    <w:name w:val="Body Text Indent 2 Char"/>
    <w:basedOn w:val="DefaultParagraphFont"/>
    <w:link w:val="BodyTextIndent2"/>
    <w:uiPriority w:val="99"/>
    <w:semiHidden/>
    <w:rsid w:val="00C37C83"/>
  </w:style>
  <w:style w:type="paragraph" w:customStyle="1" w:styleId="incr1">
    <w:name w:val="incr1"/>
    <w:basedOn w:val="Normal"/>
    <w:rsid w:val="003F6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3F6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3F6616"/>
  </w:style>
  <w:style w:type="character" w:styleId="Emphasis">
    <w:name w:val="Emphasis"/>
    <w:basedOn w:val="DefaultParagraphFont"/>
    <w:uiPriority w:val="20"/>
    <w:qFormat/>
    <w:rsid w:val="003F6616"/>
    <w:rPr>
      <w:i/>
      <w:iCs/>
    </w:rPr>
  </w:style>
  <w:style w:type="paragraph" w:customStyle="1" w:styleId="incr2">
    <w:name w:val="incr2"/>
    <w:basedOn w:val="Normal"/>
    <w:rsid w:val="003F6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3F66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6616"/>
    <w:rPr>
      <w:color w:val="0000FF"/>
      <w:u w:val="single"/>
    </w:rPr>
  </w:style>
  <w:style w:type="paragraph" w:customStyle="1" w:styleId="incr3">
    <w:name w:val="incr3"/>
    <w:basedOn w:val="Normal"/>
    <w:rsid w:val="00D308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4">
    <w:name w:val="content4"/>
    <w:basedOn w:val="Normal"/>
    <w:rsid w:val="00D308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E574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FE2255"/>
    <w:pPr>
      <w:autoSpaceDE w:val="0"/>
      <w:autoSpaceDN w:val="0"/>
      <w:adjustRightInd w:val="0"/>
      <w:spacing w:before="23" w:after="0" w:line="240" w:lineRule="auto"/>
      <w:ind w:left="105"/>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26FDD"/>
    <w:rPr>
      <w:sz w:val="16"/>
      <w:szCs w:val="16"/>
    </w:rPr>
  </w:style>
  <w:style w:type="paragraph" w:styleId="CommentText">
    <w:name w:val="annotation text"/>
    <w:basedOn w:val="Normal"/>
    <w:link w:val="CommentTextChar"/>
    <w:uiPriority w:val="99"/>
    <w:semiHidden/>
    <w:unhideWhenUsed/>
    <w:rsid w:val="00A26FDD"/>
    <w:pPr>
      <w:spacing w:before="240" w:after="240" w:line="240" w:lineRule="auto"/>
      <w:ind w:left="360"/>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A26FDD"/>
    <w:rPr>
      <w:rFonts w:ascii="Calibri" w:eastAsia="Times New Roman" w:hAnsi="Calibri" w:cs="Times New Roman"/>
      <w:sz w:val="20"/>
      <w:szCs w:val="20"/>
    </w:rPr>
  </w:style>
  <w:style w:type="paragraph" w:styleId="Caption">
    <w:name w:val="caption"/>
    <w:basedOn w:val="Normal"/>
    <w:next w:val="Normal"/>
    <w:uiPriority w:val="35"/>
    <w:unhideWhenUsed/>
    <w:qFormat/>
    <w:rsid w:val="00CD2D66"/>
    <w:pPr>
      <w:spacing w:line="240" w:lineRule="auto"/>
    </w:pPr>
    <w:rPr>
      <w:i/>
      <w:iCs/>
      <w:color w:val="1F497D" w:themeColor="text2"/>
      <w:sz w:val="18"/>
      <w:szCs w:val="18"/>
    </w:rPr>
  </w:style>
  <w:style w:type="paragraph" w:styleId="NormalWeb">
    <w:name w:val="Normal (Web)"/>
    <w:basedOn w:val="Normal"/>
    <w:uiPriority w:val="99"/>
    <w:semiHidden/>
    <w:unhideWhenUsed/>
    <w:rsid w:val="00BA27FC"/>
    <w:pPr>
      <w:spacing w:before="100" w:beforeAutospacing="1" w:after="100" w:afterAutospacing="1" w:line="240" w:lineRule="auto"/>
    </w:pPr>
    <w:rPr>
      <w:rFonts w:ascii="Times New Roman" w:eastAsia="Times New Roman" w:hAnsi="Times New Roman" w:cs="Times New Roman"/>
      <w:sz w:val="24"/>
      <w:szCs w:val="24"/>
    </w:rPr>
  </w:style>
  <w:style w:type="table" w:styleId="GridTable2-Accent1">
    <w:name w:val="Grid Table 2 Accent 1"/>
    <w:basedOn w:val="TableNormal"/>
    <w:uiPriority w:val="47"/>
    <w:rsid w:val="000E4AB2"/>
    <w:pPr>
      <w:spacing w:after="0" w:line="240" w:lineRule="auto"/>
      <w:jc w:val="both"/>
    </w:pPr>
    <w:rPr>
      <w:rFonts w:ascii="Times New Roman" w:eastAsia="Times New Roman" w:hAnsi="Times New Roman"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0683">
      <w:bodyDiv w:val="1"/>
      <w:marLeft w:val="0"/>
      <w:marRight w:val="0"/>
      <w:marTop w:val="0"/>
      <w:marBottom w:val="0"/>
      <w:divBdr>
        <w:top w:val="none" w:sz="0" w:space="0" w:color="auto"/>
        <w:left w:val="none" w:sz="0" w:space="0" w:color="auto"/>
        <w:bottom w:val="none" w:sz="0" w:space="0" w:color="auto"/>
        <w:right w:val="none" w:sz="0" w:space="0" w:color="auto"/>
      </w:divBdr>
    </w:div>
    <w:div w:id="99842238">
      <w:bodyDiv w:val="1"/>
      <w:marLeft w:val="0"/>
      <w:marRight w:val="0"/>
      <w:marTop w:val="0"/>
      <w:marBottom w:val="0"/>
      <w:divBdr>
        <w:top w:val="none" w:sz="0" w:space="0" w:color="auto"/>
        <w:left w:val="none" w:sz="0" w:space="0" w:color="auto"/>
        <w:bottom w:val="none" w:sz="0" w:space="0" w:color="auto"/>
        <w:right w:val="none" w:sz="0" w:space="0" w:color="auto"/>
      </w:divBdr>
    </w:div>
    <w:div w:id="281346330">
      <w:bodyDiv w:val="1"/>
      <w:marLeft w:val="0"/>
      <w:marRight w:val="0"/>
      <w:marTop w:val="0"/>
      <w:marBottom w:val="0"/>
      <w:divBdr>
        <w:top w:val="none" w:sz="0" w:space="0" w:color="auto"/>
        <w:left w:val="none" w:sz="0" w:space="0" w:color="auto"/>
        <w:bottom w:val="none" w:sz="0" w:space="0" w:color="auto"/>
        <w:right w:val="none" w:sz="0" w:space="0" w:color="auto"/>
      </w:divBdr>
    </w:div>
    <w:div w:id="696665646">
      <w:bodyDiv w:val="1"/>
      <w:marLeft w:val="0"/>
      <w:marRight w:val="0"/>
      <w:marTop w:val="0"/>
      <w:marBottom w:val="0"/>
      <w:divBdr>
        <w:top w:val="none" w:sz="0" w:space="0" w:color="auto"/>
        <w:left w:val="none" w:sz="0" w:space="0" w:color="auto"/>
        <w:bottom w:val="none" w:sz="0" w:space="0" w:color="auto"/>
        <w:right w:val="none" w:sz="0" w:space="0" w:color="auto"/>
      </w:divBdr>
    </w:div>
    <w:div w:id="957028078">
      <w:bodyDiv w:val="1"/>
      <w:marLeft w:val="0"/>
      <w:marRight w:val="0"/>
      <w:marTop w:val="0"/>
      <w:marBottom w:val="0"/>
      <w:divBdr>
        <w:top w:val="none" w:sz="0" w:space="0" w:color="auto"/>
        <w:left w:val="none" w:sz="0" w:space="0" w:color="auto"/>
        <w:bottom w:val="none" w:sz="0" w:space="0" w:color="auto"/>
        <w:right w:val="none" w:sz="0" w:space="0" w:color="auto"/>
      </w:divBdr>
    </w:div>
    <w:div w:id="1057558103">
      <w:bodyDiv w:val="1"/>
      <w:marLeft w:val="0"/>
      <w:marRight w:val="0"/>
      <w:marTop w:val="0"/>
      <w:marBottom w:val="0"/>
      <w:divBdr>
        <w:top w:val="none" w:sz="0" w:space="0" w:color="auto"/>
        <w:left w:val="none" w:sz="0" w:space="0" w:color="auto"/>
        <w:bottom w:val="none" w:sz="0" w:space="0" w:color="auto"/>
        <w:right w:val="none" w:sz="0" w:space="0" w:color="auto"/>
      </w:divBdr>
    </w:div>
    <w:div w:id="11560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municode.com/ri/south_kingstown/codes/code_of_ordinances?nodeId=PTIIICOOR_APXAZOOR_ART5SURE_S502SUDI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iefert\Documents\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8</TotalTime>
  <Pages>4</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JParker</dc:creator>
  <cp:lastModifiedBy>Jay Parker</cp:lastModifiedBy>
  <cp:revision>3</cp:revision>
  <cp:lastPrinted>2017-04-03T17:10:00Z</cp:lastPrinted>
  <dcterms:created xsi:type="dcterms:W3CDTF">2020-07-17T16:51:00Z</dcterms:created>
  <dcterms:modified xsi:type="dcterms:W3CDTF">2020-07-17T17:00:00Z</dcterms:modified>
</cp:coreProperties>
</file>